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4"/>
        <w:gridCol w:w="13642"/>
      </w:tblGrid>
      <w:tr w:rsidR="00925DEC" w:rsidTr="00925DE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EC" w:rsidRDefault="00925DEC">
            <w:pPr>
              <w:suppressAutoHyphens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25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6430"/>
              <w:gridCol w:w="2269"/>
              <w:gridCol w:w="3141"/>
            </w:tblGrid>
            <w:tr w:rsidR="00925DEC" w:rsidTr="00925DEC">
              <w:trPr>
                <w:trHeight w:val="86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Критерии оценки заявок на участие в открытом конкурсе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Величина значимости критерия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 w:rsidP="00925DEC">
                  <w:pPr>
                    <w:suppressAutoHyphens w:val="0"/>
                    <w:spacing w:line="240" w:lineRule="auto"/>
                    <w:ind w:right="31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Коэффициент значимости критер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ия</w:t>
                  </w:r>
                </w:p>
              </w:tc>
            </w:tr>
            <w:tr w:rsidR="00925DEC" w:rsidTr="00925DEC">
              <w:trPr>
                <w:trHeight w:val="35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Цена контракта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0,40</w:t>
                  </w:r>
                </w:p>
              </w:tc>
            </w:tr>
            <w:tr w:rsidR="00925DEC" w:rsidTr="00925DEC">
              <w:trPr>
                <w:trHeight w:val="548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Качественные, функциональные и экологические характеристики объекта закупки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0,30</w:t>
                  </w:r>
                </w:p>
              </w:tc>
            </w:tr>
            <w:tr w:rsidR="00925DEC" w:rsidTr="00925DEC">
              <w:trPr>
                <w:trHeight w:val="417"/>
              </w:trPr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-11" w:right="-1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Квалификация участника закупки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3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925DEC" w:rsidRDefault="00925DEC" w:rsidP="00010A56">
            <w:pPr>
              <w:pStyle w:val="a3"/>
              <w:numPr>
                <w:ilvl w:val="0"/>
                <w:numId w:val="2"/>
              </w:numPr>
              <w:tabs>
                <w:tab w:val="left" w:pos="1031"/>
              </w:tabs>
              <w:suppressAutoHyphens w:val="0"/>
              <w:autoSpaceDE w:val="0"/>
              <w:autoSpaceDN w:val="0"/>
              <w:snapToGrid w:val="0"/>
              <w:spacing w:before="120" w:after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Стоимостной критерий оценки: </w:t>
            </w:r>
            <w:r>
              <w:rPr>
                <w:sz w:val="24"/>
                <w:szCs w:val="24"/>
              </w:rPr>
              <w:t>Цена контракта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25DEC" w:rsidRDefault="00925DEC">
            <w:pPr>
              <w:suppressAutoHyphens w:val="0"/>
              <w:autoSpaceDE w:val="0"/>
              <w:autoSpaceDN w:val="0"/>
              <w:snapToGrid w:val="0"/>
              <w:spacing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данного критерия – 40%.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критерия (К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) - 0,4.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Рейтинг, присуждаемый заявке по стоимостному критерию оценки «Цена контракта» определяется по формуле: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Оценка осуществляется по следующей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РЦ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= ((Ц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i/>
                <w:sz w:val="28"/>
                <w:szCs w:val="28"/>
              </w:rPr>
              <w:t>-Ц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>) / Ц</w:t>
            </w:r>
            <w:r>
              <w:rPr>
                <w:i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i/>
                <w:sz w:val="28"/>
                <w:szCs w:val="28"/>
              </w:rPr>
              <w:t>) * 100,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- рейтинг, присуждаемый i-й заявке по указанному критерию;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925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начальная (максимальная) цена контракта, согласно конкурсной документации;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proofErr w:type="spellStart"/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925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 конкурса по цене контракта.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количество баллов присваивается заявке с лучшим предложением.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Рейтинг, присуждаемый i-й заявке по критерию </w:t>
            </w:r>
            <w:proofErr w:type="gramStart"/>
            <w:r>
              <w:rPr>
                <w:sz w:val="24"/>
                <w:szCs w:val="24"/>
              </w:rPr>
              <w:t>« Цена</w:t>
            </w:r>
            <w:proofErr w:type="gramEnd"/>
            <w:r>
              <w:rPr>
                <w:sz w:val="24"/>
                <w:szCs w:val="24"/>
              </w:rPr>
              <w:t xml:space="preserve"> контракта », определяется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39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</w:rPr>
              <w:t>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* К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- рейтинг, присуждаемый i-й заявке по указанному критерию (значение в баллах).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оценке заявок по критерию «Цена контракта» лучшим условием по указанному критерию признается предложение участника конкурса с наименьшей ценой контракта</w:t>
            </w:r>
          </w:p>
          <w:p w:rsidR="00925DEC" w:rsidRDefault="00925DEC" w:rsidP="00010A56">
            <w:pPr>
              <w:pStyle w:val="a3"/>
              <w:numPr>
                <w:ilvl w:val="0"/>
                <w:numId w:val="2"/>
              </w:numPr>
              <w:tabs>
                <w:tab w:val="left" w:pos="1060"/>
              </w:tabs>
              <w:suppressAutoHyphens w:val="0"/>
              <w:autoSpaceDE w:val="0"/>
              <w:autoSpaceDN w:val="0"/>
              <w:snapToGrid w:val="0"/>
              <w:spacing w:before="120" w:after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Нестоимостные</w:t>
            </w:r>
            <w:proofErr w:type="spellEnd"/>
            <w:r>
              <w:rPr>
                <w:b/>
                <w:sz w:val="24"/>
                <w:szCs w:val="24"/>
              </w:rPr>
              <w:t xml:space="preserve"> критерии оценки</w:t>
            </w:r>
            <w:r>
              <w:rPr>
                <w:sz w:val="24"/>
                <w:szCs w:val="24"/>
              </w:rPr>
              <w:t xml:space="preserve"> -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      </w:r>
            <w:r>
              <w:rPr>
                <w:sz w:val="24"/>
                <w:szCs w:val="24"/>
              </w:rPr>
              <w:lastRenderedPageBreak/>
      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квалификации»: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данного критерия – 30%.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критерия (К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) - 0,3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заявки по критерию оценки вычисляется как сумма баллов по каждому показателю критерия оценки заявки.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оценки по критерию применяются показатели:</w:t>
            </w:r>
          </w:p>
          <w:p w:rsidR="00925DEC" w:rsidRDefault="00925DEC" w:rsidP="00010A56">
            <w:pPr>
              <w:pStyle w:val="21"/>
              <w:numPr>
                <w:ilvl w:val="1"/>
                <w:numId w:val="1"/>
              </w:numPr>
              <w:tabs>
                <w:tab w:val="left" w:pos="613"/>
              </w:tabs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Оказание максимального количества видов </w:t>
            </w:r>
            <w:r>
              <w:rPr>
                <w:sz w:val="24"/>
                <w:szCs w:val="24"/>
              </w:rPr>
              <w:t xml:space="preserve">услуг, предусмотренных медико-экономическим стандартом санаторно-курортной помощи больным по группам заболеваний согласно лоту, (далее – услуги), </w:t>
            </w:r>
            <w:r>
              <w:rPr>
                <w:b/>
                <w:sz w:val="24"/>
                <w:szCs w:val="24"/>
              </w:rPr>
              <w:t>без привлечения соисполнителей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лоту № 1</w:t>
            </w:r>
            <w:r>
              <w:rPr>
                <w:sz w:val="24"/>
                <w:szCs w:val="24"/>
              </w:rPr>
              <w:t xml:space="preserve"> – Оказание без привлечения соисполнителей максимального количества видов услуг, предусмотренных медико-экономическим стандартом санаторно-курортной помощи больным с заболеваниями по Классу VI МКБ – 10 «Болезни нервной системы», </w:t>
            </w:r>
            <w:hyperlink r:id="rId5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XIV МКБ – 10. «Болезни мочеполовой системы</w:t>
              </w:r>
            </w:hyperlink>
            <w:r>
              <w:rPr>
                <w:sz w:val="24"/>
                <w:szCs w:val="24"/>
              </w:rPr>
              <w:t xml:space="preserve">», </w:t>
            </w:r>
            <w:hyperlink r:id="rId6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XII МКБ – 10. «Болезни кожи и подкожной клетчатки</w:t>
              </w:r>
            </w:hyperlink>
            <w:r>
              <w:rPr>
                <w:sz w:val="24"/>
                <w:szCs w:val="24"/>
              </w:rPr>
              <w:t xml:space="preserve">», по </w:t>
            </w:r>
            <w:hyperlink r:id="rId7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XIII МКБ – 10. «Болезни костно-мышечной системы и соединительной ткани</w:t>
              </w:r>
            </w:hyperlink>
            <w:r>
              <w:rPr>
                <w:sz w:val="24"/>
                <w:szCs w:val="24"/>
              </w:rPr>
              <w:t xml:space="preserve">», в соответствии с приказами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22.11.2004 № 214, от 22.11.2004 № 210, от 22.11.2004 № 225, от 22.11.2004 № 227 (далее – услуги).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лоту № 2</w:t>
            </w:r>
            <w:r>
              <w:rPr>
                <w:sz w:val="24"/>
                <w:szCs w:val="24"/>
              </w:rPr>
              <w:t xml:space="preserve"> – Оказание без привлечения соисполнителей максимального количества видов услуг, предусмотренных медико-экономическим стандартом санаторно-курортной помощи больным с заболеваниями по Классу VI МКБ – 10 «Болезни нервной системы», по </w:t>
            </w:r>
            <w:hyperlink r:id="rId8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 МКБ – 10. «Болезни органов дыхания</w:t>
              </w:r>
            </w:hyperlink>
            <w:r>
              <w:rPr>
                <w:sz w:val="24"/>
                <w:szCs w:val="24"/>
              </w:rPr>
              <w:t xml:space="preserve">», по </w:t>
            </w:r>
            <w:hyperlink r:id="rId9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XIII. МКБ – 10 «Болезни костно-мышечной системы и соединительной ткани</w:t>
              </w:r>
            </w:hyperlink>
            <w:r>
              <w:rPr>
                <w:sz w:val="24"/>
                <w:szCs w:val="24"/>
              </w:rPr>
              <w:t xml:space="preserve">», по </w:t>
            </w:r>
            <w:hyperlink r:id="rId10" w:history="1">
              <w:r>
                <w:rPr>
                  <w:rStyle w:val="a4"/>
                  <w:color w:val="auto"/>
                  <w:sz w:val="24"/>
                  <w:szCs w:val="24"/>
                  <w:u w:val="none"/>
                </w:rPr>
                <w:t>Классу XI. МКБ – 10 «Болезни органов пищеварения</w:t>
              </w:r>
            </w:hyperlink>
            <w:r>
              <w:rPr>
                <w:sz w:val="24"/>
                <w:szCs w:val="24"/>
              </w:rPr>
              <w:t xml:space="preserve">», по Классу IX МКБ – 10 «Болезни системы кровообращения», в соответствии с приказами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22.11.2004 № 214, от 22.11.2004 № 212, от 23.11.2004 № 278, от 22.11.2004 № 227, от 22.11.2004 N 221 (далее – услуги).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- 50%.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- 0,50.</w:t>
            </w:r>
          </w:p>
          <w:p w:rsidR="00925DEC" w:rsidRDefault="00925DEC">
            <w:pPr>
              <w:suppressAutoHyphens w:val="0"/>
              <w:spacing w:before="60" w:line="240" w:lineRule="auto"/>
              <w:ind w:left="39"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sz w:val="24"/>
                <w:szCs w:val="24"/>
              </w:rPr>
              <w:t>НЦУС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8"/>
                <w:szCs w:val="28"/>
              </w:rPr>
              <w:t>НЦУС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= </w:t>
            </w:r>
            <w:proofErr w:type="gramStart"/>
            <w:r>
              <w:rPr>
                <w:i/>
                <w:sz w:val="28"/>
                <w:szCs w:val="28"/>
              </w:rPr>
              <w:t xml:space="preserve">(( </w:t>
            </w:r>
            <w:proofErr w:type="spellStart"/>
            <w:r>
              <w:rPr>
                <w:i/>
                <w:sz w:val="28"/>
                <w:szCs w:val="28"/>
              </w:rPr>
              <w:t>УС</w:t>
            </w:r>
            <w:proofErr w:type="gramEnd"/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</w:rPr>
              <w:t>УС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8"/>
                <w:szCs w:val="28"/>
              </w:rPr>
              <w:t xml:space="preserve"> ) * 100) * 0,5 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–предложение участника закупки (количество услуг), заявка которого оценивается;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- максимальное количество видов услуг в соответствии со стандартами.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санаторно-курортной помощи, утвержденным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России, по Форме № 4 (таблица 1); </w:t>
            </w:r>
          </w:p>
          <w:p w:rsidR="00925DEC" w:rsidRDefault="00925DEC" w:rsidP="00010A56">
            <w:pPr>
              <w:pStyle w:val="21"/>
              <w:numPr>
                <w:ilvl w:val="1"/>
                <w:numId w:val="1"/>
              </w:numPr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2.2. Предоставление 1-местного размещения (полностью или частично от общего количества путевок)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- 15%.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- 0,15.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i/>
                <w:sz w:val="28"/>
                <w:szCs w:val="28"/>
              </w:rPr>
              <w:t>OP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8"/>
                <w:szCs w:val="28"/>
              </w:rPr>
              <w:t>OP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= ((</w:t>
            </w:r>
            <w:proofErr w:type="spellStart"/>
            <w:r>
              <w:rPr>
                <w:i/>
                <w:sz w:val="28"/>
                <w:szCs w:val="28"/>
              </w:rPr>
              <w:t>OП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8"/>
                <w:szCs w:val="28"/>
              </w:rPr>
              <w:t>OП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8"/>
                <w:szCs w:val="28"/>
              </w:rPr>
              <w:t>) * 100) * 0,15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OП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количество путевок с одноместным размещением, предложенным i-</w:t>
            </w:r>
            <w:proofErr w:type="spellStart"/>
            <w:r>
              <w:rPr>
                <w:sz w:val="24"/>
                <w:szCs w:val="24"/>
              </w:rPr>
              <w:t>тым</w:t>
            </w:r>
            <w:proofErr w:type="spellEnd"/>
            <w:r>
              <w:rPr>
                <w:sz w:val="24"/>
                <w:szCs w:val="24"/>
              </w:rPr>
              <w:t xml:space="preserve"> участником закупки;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OП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– максимальное количество путевок с одноместным размещением, предложенное участниками закупки.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баллов, определенное по шкале оценки, корректируется с учетом коэффициента значимости показателя (0,15 – коэффициент значимости показателя). </w:t>
            </w:r>
          </w:p>
          <w:p w:rsidR="00925DEC" w:rsidRDefault="00925DEC" w:rsidP="00010A56">
            <w:pPr>
              <w:pStyle w:val="21"/>
              <w:numPr>
                <w:ilvl w:val="1"/>
                <w:numId w:val="1"/>
              </w:numPr>
              <w:tabs>
                <w:tab w:val="clear" w:pos="0"/>
                <w:tab w:val="num" w:pos="181"/>
                <w:tab w:val="left" w:pos="613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2.3. Наличие социально-бытовых условий. 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- 15%.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- 0,15.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sz w:val="24"/>
                <w:szCs w:val="24"/>
              </w:rPr>
              <w:t>РСУi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РСУ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((</w:t>
            </w:r>
            <w:r>
              <w:rPr>
                <w:i/>
                <w:sz w:val="28"/>
                <w:szCs w:val="28"/>
              </w:rPr>
              <w:t>СУ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СУ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8"/>
                <w:szCs w:val="28"/>
              </w:rPr>
              <w:t xml:space="preserve">) * </w:t>
            </w:r>
            <w:r>
              <w:rPr>
                <w:i/>
                <w:sz w:val="24"/>
                <w:szCs w:val="24"/>
              </w:rPr>
              <w:t>100) * 0,15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– максимальное значение по данному подкритерию (14 пунктов); 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42"/>
              <w:jc w:val="both"/>
            </w:pPr>
            <w:proofErr w:type="spellStart"/>
            <w:r>
              <w:rPr>
                <w:sz w:val="24"/>
                <w:szCs w:val="24"/>
              </w:rPr>
              <w:t>СУ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данному критерию представляется по Форме № 6 (Приложение к Конкурсной документации).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определенное по шкале оценки, корректируется с учетом коэффициента значимости показателя (0,15 – коэффициент значимости показателя).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9254"/>
              <w:gridCol w:w="1137"/>
            </w:tblGrid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Социально - бытовые условия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(да/нет)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во всех номерах кондиционера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во всех номерах телевизоров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во всех номерах холодильников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sz w:val="24"/>
                      <w:szCs w:val="24"/>
                    </w:rPr>
                    <w:t xml:space="preserve">во всех номерах </w:t>
                  </w:r>
                  <w:r>
                    <w:rPr>
                      <w:sz w:val="24"/>
                      <w:szCs w:val="24"/>
                    </w:rPr>
                    <w:t>балконов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ind w:left="-7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sz w:val="24"/>
                      <w:szCs w:val="24"/>
                    </w:rPr>
                    <w:t xml:space="preserve">во всех номерах </w:t>
                  </w:r>
                  <w:r>
                    <w:rPr>
                      <w:sz w:val="24"/>
                      <w:szCs w:val="24"/>
                    </w:rPr>
                    <w:t>наборов посуды – графинов, стаканов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sz w:val="24"/>
                      <w:szCs w:val="24"/>
                    </w:rPr>
                    <w:t xml:space="preserve">во всех номерах </w:t>
                  </w:r>
                  <w:r>
                    <w:rPr>
                      <w:sz w:val="24"/>
                      <w:szCs w:val="24"/>
                    </w:rPr>
                    <w:t>прикроватных светильников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Возможность оказания бесплатных транспортных услуг по доставке граждан от места прибытия (ж/д вокзал, аэропорт, автостанция) к месту санаторно-курортного лечения и обратно (ВНИМАНИЕ: в случае положительного ответа необходимо приложить описание доставки в произвольной форме)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питьевого режима (наличие кулеров с питьевой водой на каждом этаже, либо чайник в номере)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Наличие библиотеки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бытовых комнат с гладильными досками и утюгами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холлов для отдыха с мягкой мебелью, телевизорами, настольными играми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на территории аптечного киоска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на территории беседок, лавочек для отдыха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25DEC" w:rsidRDefault="00925DEC" w:rsidP="00010A56">
            <w:pPr>
              <w:pStyle w:val="21"/>
              <w:numPr>
                <w:ilvl w:val="1"/>
                <w:numId w:val="1"/>
              </w:numPr>
              <w:tabs>
                <w:tab w:val="clear" w:pos="0"/>
                <w:tab w:val="num" w:pos="181"/>
                <w:tab w:val="left" w:pos="613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 Наличие благоприятных природных и лечебных факторов.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- 20%.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- 0,20.</w:t>
            </w:r>
          </w:p>
          <w:p w:rsidR="00925DEC" w:rsidRDefault="00925DEC">
            <w:pPr>
              <w:tabs>
                <w:tab w:val="num" w:pos="181"/>
              </w:tabs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 (</w:t>
            </w:r>
            <w:proofErr w:type="spellStart"/>
            <w:r>
              <w:rPr>
                <w:sz w:val="24"/>
                <w:szCs w:val="24"/>
              </w:rPr>
              <w:t>РБФi</w:t>
            </w:r>
            <w:proofErr w:type="spellEnd"/>
            <w:r>
              <w:rPr>
                <w:sz w:val="24"/>
                <w:szCs w:val="24"/>
              </w:rPr>
              <w:t>),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РБФ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((</w:t>
            </w:r>
            <w:proofErr w:type="spellStart"/>
            <w:r>
              <w:rPr>
                <w:i/>
                <w:sz w:val="24"/>
                <w:szCs w:val="24"/>
              </w:rPr>
              <w:t>БФ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БФ</w:t>
            </w:r>
            <w:r>
              <w:rPr>
                <w:i/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i/>
                <w:sz w:val="24"/>
                <w:szCs w:val="24"/>
              </w:rPr>
              <w:t>) * 100) * 0,2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БФ</w:t>
            </w:r>
            <w:r>
              <w:rPr>
                <w:sz w:val="28"/>
                <w:szCs w:val="28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– максимальное значение по данному подкритерию (8 пунктов); 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42"/>
              <w:jc w:val="both"/>
            </w:pPr>
            <w:proofErr w:type="spellStart"/>
            <w:r>
              <w:rPr>
                <w:sz w:val="24"/>
                <w:szCs w:val="24"/>
              </w:rPr>
              <w:t>БФ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 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по данному критерию представляется по Форме № 6 (Приложение к Конкурсной документации).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определенное по шкале оценки, корректируется с учетом коэффициента значимости показателя (0,2 – коэффициент значимости показателя).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9254"/>
              <w:gridCol w:w="1137"/>
            </w:tblGrid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Факторы для санаторно-курортного лечения и оздоровления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</w:t>
                  </w:r>
                </w:p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(да/нет)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ind w:left="1156" w:hanging="1156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Наличие лесопарковой (природной) зоны.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Наличие разработанных маршрутов терренкура на собственной территории, с указателями, освещением в вечернее время, дорожками с твердым покрытием 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70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на территории организации природного месторождения минеральной воды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природного водоема с оборудованным пляжем на территории или примыкающего к территории организации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Тренажерный зал с современными тренажерами.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925DEC">
              <w:trPr>
                <w:trHeight w:val="282"/>
              </w:trPr>
              <w:tc>
                <w:tcPr>
                  <w:tcW w:w="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Наличие плавательного бассейна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5DEC" w:rsidRDefault="00925DEC">
                  <w:pPr>
                    <w:suppressAutoHyphens w:val="0"/>
                    <w:spacing w:before="20" w:after="20" w:line="240" w:lineRule="auto"/>
                    <w:rPr>
                      <w:bCs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:rsidR="00925DEC" w:rsidRDefault="00925DEC">
            <w:pPr>
              <w:suppressAutoHyphens w:val="0"/>
              <w:spacing w:before="12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и расчет присуждаемый заявке по критерию </w:t>
            </w:r>
            <w:proofErr w:type="gramStart"/>
            <w:r>
              <w:rPr>
                <w:sz w:val="24"/>
                <w:szCs w:val="24"/>
              </w:rPr>
              <w:t>«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Качественные</w:t>
            </w:r>
            <w:proofErr w:type="gramEnd"/>
            <w:r>
              <w:rPr>
                <w:b/>
                <w:sz w:val="24"/>
                <w:szCs w:val="24"/>
              </w:rPr>
              <w:t>, функциональные и экологические характеристики объекта закупок</w:t>
            </w:r>
            <w:r>
              <w:rPr>
                <w:sz w:val="24"/>
                <w:szCs w:val="24"/>
              </w:rPr>
              <w:t>».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количество баллов присваивается заявке с лучшим предложением.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Рейтинг, присуждаемый i-й заявке по критерию «Качественные характеристики предоставляемых работ, услуг», определяется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КФЭ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К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i/>
                <w:sz w:val="28"/>
                <w:szCs w:val="28"/>
              </w:rPr>
              <w:t xml:space="preserve"> * (</w:t>
            </w:r>
            <w:proofErr w:type="spellStart"/>
            <w:r>
              <w:rPr>
                <w:i/>
                <w:sz w:val="28"/>
                <w:szCs w:val="28"/>
              </w:rPr>
              <w:t>НЦУС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+ </w:t>
            </w:r>
            <w:proofErr w:type="spellStart"/>
            <w:r>
              <w:rPr>
                <w:i/>
                <w:sz w:val="28"/>
                <w:szCs w:val="28"/>
              </w:rPr>
              <w:t>OP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+</w:t>
            </w:r>
            <w:r>
              <w:rPr>
                <w:i/>
                <w:sz w:val="24"/>
                <w:szCs w:val="24"/>
              </w:rPr>
              <w:t xml:space="preserve"> РСУ</w:t>
            </w:r>
            <w:proofErr w:type="spellStart"/>
            <w:r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 xml:space="preserve"> +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РБФ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КФЭ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- рейтинг, присуждаемый i-й заявке по указанному критерию (значение в баллах).</w:t>
            </w:r>
          </w:p>
          <w:p w:rsidR="00925DEC" w:rsidRDefault="00925DEC" w:rsidP="00010A56">
            <w:pPr>
              <w:pStyle w:val="21"/>
              <w:numPr>
                <w:ilvl w:val="0"/>
                <w:numId w:val="1"/>
              </w:numPr>
              <w:tabs>
                <w:tab w:val="left" w:pos="567"/>
              </w:tabs>
              <w:suppressAutoHyphens w:val="0"/>
              <w:spacing w:before="240" w:line="240" w:lineRule="auto"/>
              <w:ind w:left="181" w:firstLine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Наличие у организации </w:t>
            </w:r>
            <w:r>
              <w:rPr>
                <w:b/>
                <w:sz w:val="24"/>
                <w:szCs w:val="24"/>
              </w:rPr>
              <w:t>опыта работы по санаторно-курортному лечению и медицинской реабилитации застрахованных лиц</w:t>
            </w:r>
            <w:r>
              <w:rPr>
                <w:sz w:val="24"/>
                <w:szCs w:val="24"/>
              </w:rPr>
              <w:t xml:space="preserve">, пострадавших вследствие несчастных случаев на производстве и профессиональных заболеваний. </w:t>
            </w:r>
          </w:p>
          <w:p w:rsidR="00925DEC" w:rsidRDefault="00925DEC">
            <w:pPr>
              <w:suppressAutoHyphens w:val="0"/>
              <w:spacing w:before="60" w:after="60" w:line="240" w:lineRule="auto"/>
              <w:ind w:left="181" w:firstLine="425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Наличие за последние пять лет (2013 – 2017 года) документально подтвержденного, успешного опыта оказания услуг </w:t>
            </w:r>
            <w:r>
              <w:rPr>
                <w:sz w:val="24"/>
                <w:szCs w:val="24"/>
              </w:rPr>
              <w:t>в соответствии со стандартами санаторно-курортной помощи застрахованным лицам, получившим повреждения здоровья вследствие несчастных случаев на производстве и (или) профессиональных заболеваний, в том числе в период временной нетрудоспособности, непосредственно после тяжелого несчастного случая на производстве, в организациях, оказывающих санаторно-курортные услуги по путевкам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925DEC" w:rsidRDefault="00925DEC">
            <w:pPr>
              <w:suppressAutoHyphens w:val="0"/>
              <w:spacing w:before="60" w:line="240" w:lineRule="auto"/>
              <w:ind w:left="181" w:firstLine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Значимость показателя – 30%.</w:t>
            </w:r>
          </w:p>
          <w:p w:rsidR="00925DEC" w:rsidRDefault="00925DEC">
            <w:pPr>
              <w:suppressAutoHyphens w:val="0"/>
              <w:spacing w:before="60" w:line="240" w:lineRule="auto"/>
              <w:ind w:left="181" w:firstLine="42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Коэффициент значимости показателя (К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) – 0,30.</w:t>
            </w:r>
          </w:p>
          <w:p w:rsidR="00925DEC" w:rsidRDefault="00925DEC">
            <w:pPr>
              <w:suppressAutoHyphens w:val="0"/>
              <w:spacing w:before="60" w:line="240" w:lineRule="auto"/>
              <w:ind w:left="181" w:firstLine="425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баллов, присуждаемых заявке по показателю, рассчитывается по формуле: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lastRenderedPageBreak/>
              <w:t>ОоУ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= К</w:t>
            </w:r>
            <w:r>
              <w:rPr>
                <w:i/>
                <w:sz w:val="28"/>
                <w:szCs w:val="28"/>
                <w:vertAlign w:val="subscript"/>
              </w:rPr>
              <w:t>3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* </w:t>
            </w:r>
            <w:proofErr w:type="spellStart"/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925DEC" w:rsidRDefault="00925DEC">
            <w:pPr>
              <w:suppressAutoHyphens w:val="0"/>
              <w:spacing w:before="60" w:line="240" w:lineRule="auto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925DEC" w:rsidRDefault="00925DEC">
            <w:pPr>
              <w:tabs>
                <w:tab w:val="left" w:pos="0"/>
              </w:tabs>
              <w:suppressAutoHyphens w:val="0"/>
              <w:snapToGrid w:val="0"/>
              <w:spacing w:line="240" w:lineRule="auto"/>
              <w:ind w:left="68"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–предложение i-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участника закупки, присвоение которых производится в соответствии со следующей шкалой оценки:</w:t>
            </w:r>
          </w:p>
          <w:tbl>
            <w:tblPr>
              <w:tblW w:w="11085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243"/>
              <w:gridCol w:w="1842"/>
            </w:tblGrid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Количество лет, в которых участником оказывались услуги </w:t>
                  </w:r>
                  <w:r>
                    <w:rPr>
                      <w:sz w:val="24"/>
                      <w:szCs w:val="24"/>
                    </w:rPr>
                    <w:t>в соответствии со стандартами санаторно-курортной помощи застрахованным лицам, получившим повреждения здоровья вследствие несчастных случаев на производстве и (или) профессиональных заболеваний, в том числе в период временной нетрудоспособности, непосредственно после тяжелого несчастного случая на производстве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vAlign w:val="center"/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балов</w:t>
                  </w:r>
                </w:p>
              </w:tc>
            </w:tr>
            <w:tr w:rsidR="00925DEC">
              <w:trPr>
                <w:cantSplit/>
                <w:trHeight w:val="75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 лет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100 баллов</w:t>
                  </w:r>
                </w:p>
              </w:tc>
            </w:tr>
            <w:tr w:rsidR="00925DEC">
              <w:trPr>
                <w:cantSplit/>
                <w:trHeight w:val="75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 года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80 баллов</w:t>
                  </w:r>
                </w:p>
              </w:tc>
            </w:tr>
            <w:tr w:rsidR="00925DEC">
              <w:trPr>
                <w:cantSplit/>
                <w:trHeight w:val="75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 года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60 баллов</w:t>
                  </w:r>
                </w:p>
              </w:tc>
            </w:tr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 года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 баллов</w:t>
                  </w:r>
                </w:p>
              </w:tc>
            </w:tr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 год из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 баллов</w:t>
                  </w:r>
                </w:p>
              </w:tc>
            </w:tr>
            <w:tr w:rsidR="00925DEC">
              <w:trPr>
                <w:cantSplit/>
                <w:trHeight w:val="60"/>
                <w:tblCellSpacing w:w="0" w:type="dxa"/>
              </w:trPr>
              <w:tc>
                <w:tcPr>
                  <w:tcW w:w="924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Услуга в период 2013-2017 не оказывалась</w:t>
                  </w:r>
                </w:p>
              </w:tc>
              <w:tc>
                <w:tcPr>
                  <w:tcW w:w="1842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hideMark/>
                </w:tcPr>
                <w:p w:rsidR="00925DEC" w:rsidRDefault="00925DEC">
                  <w:pPr>
                    <w:suppressAutoHyphens w:val="0"/>
                    <w:spacing w:before="100" w:beforeAutospacing="1" w:after="119" w:line="240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 баллов</w:t>
                  </w:r>
                </w:p>
              </w:tc>
            </w:tr>
          </w:tbl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предоставляются по </w:t>
            </w:r>
            <w:r>
              <w:rPr>
                <w:b/>
                <w:sz w:val="24"/>
                <w:szCs w:val="24"/>
              </w:rPr>
              <w:t>Форме 7</w:t>
            </w:r>
            <w:r>
              <w:rPr>
                <w:sz w:val="24"/>
                <w:szCs w:val="24"/>
              </w:rPr>
              <w:t xml:space="preserve"> (Приложение к Конкурсной документации).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(или) договоров на оказание услуг по санаторно-курортному лечению застрахованных лиц, получивших повреждения здоровья вследствие несчастных случаев на производстве и (или) профессиональных заболеваний, в том числе в период временной нетрудоспособности, непосредственно после тяжелого несчастного случая на производстве,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реестрового номера гос. контракта (договора) и размещении такового в открытой части ЕИС и указании в данной форме, прикладывать копии таких контрактов (договоров) не обязательно, однако при отсутствии такового реестрового номера гос. контракта (договора) или копий подтверждающих документов опыт работы не учитывается при оценке по данному </w:t>
            </w:r>
            <w:r>
              <w:rPr>
                <w:sz w:val="24"/>
                <w:szCs w:val="24"/>
              </w:rPr>
              <w:lastRenderedPageBreak/>
              <w:t>показателю.</w:t>
            </w:r>
          </w:p>
          <w:p w:rsidR="00925DEC" w:rsidRDefault="00925DEC">
            <w:pPr>
              <w:suppressAutoHyphens w:val="0"/>
              <w:spacing w:before="60" w:line="240" w:lineRule="auto"/>
              <w:ind w:left="142" w:firstLine="4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по указанным государственным контрактам имеются штрафы за неисполнение или не надлежащее исполнение обязательств участником, они исключаются и не оцениваются.</w:t>
            </w:r>
          </w:p>
          <w:p w:rsidR="00925DEC" w:rsidRDefault="00925DEC">
            <w:pPr>
              <w:suppressAutoHyphens w:val="0"/>
              <w:spacing w:before="120" w:line="240" w:lineRule="auto"/>
              <w:ind w:left="142" w:firstLine="46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рейтинг заявки</w:t>
            </w:r>
            <w:r>
              <w:rPr>
                <w:sz w:val="24"/>
                <w:szCs w:val="24"/>
              </w:rPr>
              <w:t xml:space="preserve"> вычисляется как сумма рейтингов по каждому критерию оценки заявки на основании следующей формулы:</w:t>
            </w:r>
          </w:p>
          <w:p w:rsidR="00925DEC" w:rsidRDefault="00925DEC">
            <w:pPr>
              <w:suppressAutoHyphens w:val="0"/>
              <w:spacing w:before="120" w:after="120" w:line="240" w:lineRule="auto"/>
              <w:ind w:left="4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</w:t>
            </w:r>
            <w:proofErr w:type="spellStart"/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= (</w:t>
            </w:r>
            <w:r>
              <w:rPr>
                <w:color w:val="000000"/>
                <w:sz w:val="24"/>
                <w:szCs w:val="24"/>
              </w:rPr>
              <w:t xml:space="preserve">0,4 * </w:t>
            </w:r>
            <w:proofErr w:type="spellStart"/>
            <w:r>
              <w:rPr>
                <w:sz w:val="24"/>
                <w:szCs w:val="24"/>
              </w:rPr>
              <w:t>ИРЦ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 xml:space="preserve">+ (0,3 </w:t>
            </w:r>
            <w:r>
              <w:rPr>
                <w:sz w:val="24"/>
                <w:szCs w:val="24"/>
              </w:rPr>
              <w:t xml:space="preserve">* </w:t>
            </w:r>
            <w:proofErr w:type="spellStart"/>
            <w:r>
              <w:rPr>
                <w:sz w:val="24"/>
                <w:szCs w:val="24"/>
              </w:rPr>
              <w:t>КФЭ</w:t>
            </w:r>
            <w:r>
              <w:rPr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+ (0,3</w:t>
            </w:r>
            <w:r>
              <w:rPr>
                <w:sz w:val="24"/>
                <w:szCs w:val="24"/>
              </w:rPr>
              <w:t xml:space="preserve"> * </w:t>
            </w:r>
            <w:proofErr w:type="spellStart"/>
            <w:r>
              <w:rPr>
                <w:i/>
                <w:sz w:val="24"/>
                <w:szCs w:val="24"/>
              </w:rPr>
              <w:t>ОоУ</w:t>
            </w:r>
            <w:proofErr w:type="gramStart"/>
            <w:r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925DEC" w:rsidRDefault="00925DEC">
            <w:pPr>
              <w:suppressAutoHyphens w:val="0"/>
              <w:spacing w:line="240" w:lineRule="auto"/>
              <w:ind w:left="4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  <w:p w:rsidR="00925DEC" w:rsidRDefault="00925DEC">
            <w:pPr>
              <w:suppressAutoHyphens w:val="0"/>
              <w:snapToGrid w:val="0"/>
              <w:spacing w:line="240" w:lineRule="auto"/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</w:tc>
      </w:tr>
    </w:tbl>
    <w:p w:rsidR="00C7542D" w:rsidRDefault="00C7542D"/>
    <w:sectPr w:rsidR="00C7542D" w:rsidSect="00925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0635B8"/>
    <w:multiLevelType w:val="hybridMultilevel"/>
    <w:tmpl w:val="81C6F53E"/>
    <w:lvl w:ilvl="0" w:tplc="CA84DC42">
      <w:start w:val="1"/>
      <w:numFmt w:val="decimal"/>
      <w:lvlText w:val="%1."/>
      <w:lvlJc w:val="left"/>
      <w:pPr>
        <w:ind w:left="995" w:hanging="360"/>
      </w:pPr>
    </w:lvl>
    <w:lvl w:ilvl="1" w:tplc="04190019">
      <w:start w:val="1"/>
      <w:numFmt w:val="lowerLetter"/>
      <w:lvlText w:val="%2."/>
      <w:lvlJc w:val="left"/>
      <w:pPr>
        <w:ind w:left="1715" w:hanging="360"/>
      </w:pPr>
    </w:lvl>
    <w:lvl w:ilvl="2" w:tplc="0419001B">
      <w:start w:val="1"/>
      <w:numFmt w:val="lowerRoman"/>
      <w:lvlText w:val="%3."/>
      <w:lvlJc w:val="right"/>
      <w:pPr>
        <w:ind w:left="2435" w:hanging="180"/>
      </w:pPr>
    </w:lvl>
    <w:lvl w:ilvl="3" w:tplc="0419000F">
      <w:start w:val="1"/>
      <w:numFmt w:val="decimal"/>
      <w:lvlText w:val="%4."/>
      <w:lvlJc w:val="left"/>
      <w:pPr>
        <w:ind w:left="3155" w:hanging="360"/>
      </w:pPr>
    </w:lvl>
    <w:lvl w:ilvl="4" w:tplc="04190019">
      <w:start w:val="1"/>
      <w:numFmt w:val="lowerLetter"/>
      <w:lvlText w:val="%5."/>
      <w:lvlJc w:val="left"/>
      <w:pPr>
        <w:ind w:left="3875" w:hanging="360"/>
      </w:pPr>
    </w:lvl>
    <w:lvl w:ilvl="5" w:tplc="0419001B">
      <w:start w:val="1"/>
      <w:numFmt w:val="lowerRoman"/>
      <w:lvlText w:val="%6."/>
      <w:lvlJc w:val="right"/>
      <w:pPr>
        <w:ind w:left="4595" w:hanging="180"/>
      </w:pPr>
    </w:lvl>
    <w:lvl w:ilvl="6" w:tplc="0419000F">
      <w:start w:val="1"/>
      <w:numFmt w:val="decimal"/>
      <w:lvlText w:val="%7."/>
      <w:lvlJc w:val="left"/>
      <w:pPr>
        <w:ind w:left="5315" w:hanging="360"/>
      </w:pPr>
    </w:lvl>
    <w:lvl w:ilvl="7" w:tplc="04190019">
      <w:start w:val="1"/>
      <w:numFmt w:val="lowerLetter"/>
      <w:lvlText w:val="%8."/>
      <w:lvlJc w:val="left"/>
      <w:pPr>
        <w:ind w:left="6035" w:hanging="360"/>
      </w:pPr>
    </w:lvl>
    <w:lvl w:ilvl="8" w:tplc="0419001B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E"/>
    <w:rsid w:val="004D338E"/>
    <w:rsid w:val="00925DEC"/>
    <w:rsid w:val="00C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48CE-60B6-4B15-AF82-5919D788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EC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925DEC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925DEC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DEC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5DEC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25DEC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925DEC"/>
    <w:pPr>
      <w:keepNext/>
      <w:numPr>
        <w:ilvl w:val="5"/>
        <w:numId w:val="1"/>
      </w:numPr>
      <w:tabs>
        <w:tab w:val="left" w:pos="0"/>
      </w:tabs>
      <w:overflowPunct w:val="0"/>
      <w:autoSpaceDE w:val="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25DEC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25DE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DE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925DE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925D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925DE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semiHidden/>
    <w:rsid w:val="00925DEC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925DEC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semiHidden/>
    <w:rsid w:val="00925DEC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semiHidden/>
    <w:rsid w:val="00925DEC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925DEC"/>
    <w:pPr>
      <w:ind w:left="720"/>
      <w:contextualSpacing/>
    </w:pPr>
  </w:style>
  <w:style w:type="paragraph" w:customStyle="1" w:styleId="21">
    <w:name w:val="Абзац списка2"/>
    <w:basedOn w:val="a"/>
    <w:rsid w:val="00925DEC"/>
    <w:pPr>
      <w:ind w:left="720"/>
    </w:pPr>
    <w:rPr>
      <w:kern w:val="2"/>
    </w:rPr>
  </w:style>
  <w:style w:type="character" w:styleId="a4">
    <w:name w:val="Hyperlink"/>
    <w:basedOn w:val="a0"/>
    <w:semiHidden/>
    <w:unhideWhenUsed/>
    <w:rsid w:val="0092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50;&#1041;-10:_&#1050;&#1083;&#1072;&#1089;&#1089;_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2;&#1050;&#1041;-10:_&#1050;&#1083;&#1072;&#1089;&#1089;_XI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50;&#1041;-10:_&#1050;&#1083;&#1072;&#1089;&#1089;_X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52;&#1050;&#1041;-10:_&#1050;&#1083;&#1072;&#1089;&#1089;_XIV" TargetMode="External"/><Relationship Id="rId10" Type="http://schemas.openxmlformats.org/officeDocument/2006/relationships/hyperlink" Target="https://ru.wikipedia.org/wiki/&#1052;&#1050;&#1041;-10:_&#1050;&#1083;&#1072;&#1089;&#1089;_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2;&#1050;&#1041;-10:_&#1050;&#1083;&#1072;&#1089;&#1089;_XI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2018-03-15T11:29:00Z</dcterms:created>
  <dcterms:modified xsi:type="dcterms:W3CDTF">2018-03-15T11:32:00Z</dcterms:modified>
</cp:coreProperties>
</file>