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CD" w:rsidRDefault="002F0713" w:rsidP="002D61C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2D61CD" w:rsidRDefault="002F0713" w:rsidP="002D61CD">
      <w:pPr>
        <w:keepNext/>
        <w:keepLines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7D23" w:rsidRPr="00BD7D23" w:rsidRDefault="00BD7D23" w:rsidP="00BD7D2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BD7D23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Федерального закона </w:t>
      </w:r>
      <w:r w:rsidRPr="00BD7D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D7D23" w:rsidRPr="00BD7D23" w:rsidRDefault="00BD7D23" w:rsidP="00BD7D23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23" w:rsidRPr="00BD7D23" w:rsidRDefault="00BD7D23" w:rsidP="00BD7D2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D7D23" w:rsidRPr="00BD7D23" w:rsidRDefault="00BD7D23" w:rsidP="00BD7D2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цена государственного контракта; </w:t>
      </w:r>
    </w:p>
    <w:p w:rsidR="00BD7D23" w:rsidRPr="00BD7D23" w:rsidRDefault="00BD7D23" w:rsidP="00BD7D2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качественные характеристики оказываемых услуг;</w:t>
      </w:r>
    </w:p>
    <w:p w:rsidR="00BD7D23" w:rsidRPr="00BD7D23" w:rsidRDefault="00BD7D23" w:rsidP="00BD7D2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D7D23" w:rsidRPr="00BD7D23" w:rsidRDefault="00BD7D23" w:rsidP="00BD7D2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D7D23" w:rsidRPr="00BD7D23" w:rsidRDefault="00BD7D23" w:rsidP="00BD7D2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 – 40%;</w:t>
      </w:r>
    </w:p>
    <w:p w:rsidR="00BD7D23" w:rsidRPr="00BD7D23" w:rsidRDefault="00BD7D23" w:rsidP="00BD7D2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качественные характеристики оказываемых услуг – 30%;</w:t>
      </w:r>
    </w:p>
    <w:p w:rsidR="00BD7D23" w:rsidRPr="00BD7D23" w:rsidRDefault="00BD7D23" w:rsidP="00BD7D2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D7D23" w:rsidRPr="00BD7D23" w:rsidRDefault="00BD7D23" w:rsidP="00BD7D2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D7D23" w:rsidRPr="00BD7D23" w:rsidRDefault="00BD7D23" w:rsidP="00BD7D23">
      <w:pPr>
        <w:keepNext/>
        <w:keepLines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D7D23" w:rsidRPr="00BD7D23" w:rsidTr="00D34C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Pr="00BD7D23" w:rsidRDefault="00BD7D23" w:rsidP="00BD7D23">
            <w:pPr>
              <w:keepNext/>
              <w:keepLines/>
              <w:spacing w:before="100" w:after="10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1. Оценка заявок по критерию «цена государственного контракта»</w:t>
            </w:r>
          </w:p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D7D23" w:rsidRPr="00BD7D23" w:rsidTr="00D34C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Ц</w:t>
            </w:r>
            <w:r w:rsidRPr="00BD7D23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min</w:t>
            </w:r>
          </w:p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ЦБ</w:t>
            </w:r>
            <w:proofErr w:type="spellStart"/>
            <w:r w:rsidRPr="00BD7D23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i</w:t>
            </w:r>
            <w:proofErr w:type="spellEnd"/>
            <w:r w:rsidRPr="00BD7D23">
              <w:rPr>
                <w:rFonts w:ascii="Times New Roman" w:eastAsia="Times New Roman" w:hAnsi="Times New Roman" w:cs="Times New Roman"/>
                <w:b/>
                <w:vertAlign w:val="subscript"/>
                <w:lang w:eastAsia="ar-SA"/>
              </w:rPr>
              <w:t xml:space="preserve"> </w:t>
            </w: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=-------------- </w:t>
            </w:r>
            <w:r w:rsidRPr="00BD7D23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x</w:t>
            </w: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100,</w:t>
            </w:r>
          </w:p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Ц</w:t>
            </w:r>
            <w:proofErr w:type="spellStart"/>
            <w:r w:rsidRPr="00BD7D23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i</w:t>
            </w:r>
            <w:proofErr w:type="spellEnd"/>
          </w:p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где:</w:t>
            </w:r>
          </w:p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ЦБ</w:t>
            </w:r>
            <w:proofErr w:type="spellStart"/>
            <w:r w:rsidRPr="00BD7D23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i</w:t>
            </w:r>
            <w:proofErr w:type="spellEnd"/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количество баллов, присуждаемых </w:t>
            </w:r>
            <w:proofErr w:type="spellStart"/>
            <w:r w:rsidRPr="00BD7D23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proofErr w:type="spellEnd"/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-заявке по указанному критерию;</w:t>
            </w:r>
          </w:p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Ц</w:t>
            </w:r>
            <w:proofErr w:type="spellStart"/>
            <w:r w:rsidRPr="00BD7D23">
              <w:rPr>
                <w:rFonts w:ascii="Times New Roman" w:eastAsia="Times New Roman" w:hAnsi="Times New Roman" w:cs="Times New Roman"/>
                <w:b/>
                <w:vertAlign w:val="subscript"/>
                <w:lang w:val="en-US" w:eastAsia="ar-SA"/>
              </w:rPr>
              <w:t>i</w:t>
            </w:r>
            <w:proofErr w:type="spellEnd"/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D7D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предложение </w:t>
            </w:r>
            <w:r w:rsidRPr="00BD7D23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цены государственного контракта</w:t>
            </w:r>
            <w:r w:rsidRPr="00BD7D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D7D23" w:rsidRPr="00BD7D23" w:rsidRDefault="00BD7D23" w:rsidP="00BD7D2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23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BD7D23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min</w:t>
            </w:r>
            <w:r w:rsidRPr="00BD7D23">
              <w:rPr>
                <w:rFonts w:ascii="Times New Roman" w:eastAsia="Times New Roman" w:hAnsi="Times New Roman" w:cs="Times New Roman"/>
                <w:lang w:eastAsia="ru-RU"/>
              </w:rPr>
              <w:t xml:space="preserve"> - минимальное предложение </w:t>
            </w:r>
            <w:r w:rsidRPr="00BD7D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цены государственного контракта</w:t>
            </w:r>
            <w:r w:rsidRPr="00BD7D23">
              <w:rPr>
                <w:rFonts w:ascii="Times New Roman" w:eastAsia="Times New Roman" w:hAnsi="Times New Roman" w:cs="Times New Roman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D7D23" w:rsidRPr="00BD7D23" w:rsidRDefault="00BD7D23" w:rsidP="00BD7D23">
            <w:pPr>
              <w:keepNext/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D7D23" w:rsidRPr="00BD7D23" w:rsidTr="00D34C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Pr="00BD7D23" w:rsidRDefault="00BD7D23" w:rsidP="00BD7D23">
            <w:pPr>
              <w:keepNext/>
              <w:keepLines/>
              <w:spacing w:before="100" w:after="10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2. Оценка заявок по критерию «качественные характеристики оказываемых услуг»</w:t>
            </w:r>
          </w:p>
          <w:p w:rsidR="00BD7D23" w:rsidRPr="00BD7D23" w:rsidRDefault="00BD7D23" w:rsidP="00BD7D23">
            <w:pPr>
              <w:keepNext/>
              <w:keepLines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D7D23" w:rsidRPr="00BD7D23" w:rsidRDefault="00BD7D23" w:rsidP="00BD7D23">
            <w:pPr>
              <w:keepNext/>
              <w:keepLines/>
              <w:spacing w:before="100" w:after="10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D7D23" w:rsidRPr="00BD7D23" w:rsidRDefault="00BD7D23" w:rsidP="00BD7D23">
            <w:pPr>
              <w:keepNext/>
              <w:keepLine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D7D23" w:rsidRPr="00BD7D23" w:rsidRDefault="00BD7D23" w:rsidP="00BD7D2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 оценки – 0,3.</w:t>
            </w:r>
          </w:p>
        </w:tc>
      </w:tr>
      <w:tr w:rsidR="00BD7D23" w:rsidRPr="00BD7D23" w:rsidTr="00BD7D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D23" w:rsidRPr="00BD7D23" w:rsidRDefault="00BD7D23" w:rsidP="00BD7D23">
            <w:pPr>
              <w:keepNext/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 1 Соответствие оказываемых услуг стандартам </w:t>
            </w:r>
            <w:r w:rsidRPr="00BD7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BD7D23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баллов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10 баллов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25 баллов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(Указать какие именно)</w:t>
            </w:r>
          </w:p>
        </w:tc>
      </w:tr>
      <w:tr w:rsidR="00BD7D23" w:rsidRPr="00BD7D23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Pr="00BD7D23" w:rsidRDefault="00BD7D23" w:rsidP="00BD7D23">
            <w:pPr>
              <w:keepNext/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 2 </w:t>
            </w:r>
            <w:r w:rsidRPr="00BD7D23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Наличие в номере холодильника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2 балла;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- Наличие в номере телевизора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3 балла;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- Наличие на территории аптечного киоска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15 баллов;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– 15 баллов.</w:t>
            </w:r>
          </w:p>
        </w:tc>
      </w:tr>
      <w:tr w:rsidR="00BD7D23" w:rsidRPr="00BD7D23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 3 Наличие благоприятных природных и лечебных факторов: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 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Лесопарковая (природная) зона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5 баллов;</w:t>
            </w:r>
          </w:p>
          <w:p w:rsidR="00BD7D23" w:rsidRPr="00BD7D23" w:rsidRDefault="00BD7D23" w:rsidP="00BD7D23">
            <w:pPr>
              <w:keepNext/>
              <w:widowControl w:val="0"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- Открытый бассейн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5 баллов;</w:t>
            </w:r>
          </w:p>
          <w:p w:rsidR="00BD7D23" w:rsidRPr="00BD7D23" w:rsidRDefault="00BD7D23" w:rsidP="00BD7D23">
            <w:pPr>
              <w:keepNext/>
              <w:widowControl w:val="0"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- Закрытый бассейн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10 баллов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Возможно приложение документов: выписка из технического паспорта на бассейн.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- Бювет или лечебный источник на территории здравницы: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 – собственный, в том числе и привозная лечебная вода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10 баллов;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- Лечебные грязи собственные, в том числе и привозные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10 баллов;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BD7D23" w:rsidRPr="00BD7D23" w:rsidTr="00D34C3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 оценки – 0,3.</w:t>
            </w:r>
          </w:p>
        </w:tc>
      </w:tr>
      <w:tr w:rsidR="00BD7D23" w:rsidRPr="00BD7D23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- при наличии 15 и более врачей высшей категории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100 баллов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- при наличии 8-14 врачей высшей категории – 3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5 баллов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- при наличии 1-7 врачей высшей категории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15 баллов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BD7D23" w:rsidRPr="00BD7D23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П 2 «опыт участника по успешному оказанию услуг сопоставимого характера и объема».</w:t>
            </w:r>
          </w:p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lang w:eastAsia="ar-SA"/>
              </w:rPr>
              <w:t>Коэффициент значимости показателя – 0,2.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Наличие у организации, оказывающей санаторно-курортные услуги, опыта работы: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- общий опыт работы 15 лет и более –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100 баллов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- общий опыт работы от 7 до 15 лет – 3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5 баллов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- общий опыт работы до 7 лет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15 баллов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 xml:space="preserve">- отсутствие опыта работы – </w:t>
            </w:r>
            <w:r w:rsidRPr="00BD7D23">
              <w:rPr>
                <w:rFonts w:ascii="Times New Roman" w:eastAsia="Times New Roman" w:hAnsi="Times New Roman" w:cs="Times New Roman"/>
                <w:i/>
                <w:lang w:eastAsia="ar-SA"/>
              </w:rPr>
              <w:t>0 баллов</w:t>
            </w:r>
            <w:r w:rsidRPr="00BD7D2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BD7D23" w:rsidRPr="00BD7D23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lastRenderedPageBreak/>
              <w:t>П 3 «обеспеченность участника закупки материально-техническими ресурсами»</w:t>
            </w:r>
          </w:p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Коэффициент значимости показателя –0,5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1) Наличие у организации </w:t>
            </w:r>
            <w:proofErr w:type="spellStart"/>
            <w:r w:rsidRPr="00BD7D2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физкабинетов</w:t>
            </w:r>
            <w:proofErr w:type="spellEnd"/>
            <w:r w:rsidRPr="00BD7D2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(указать количество мест в кабинетах)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до 5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5 до 20 (включительно)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10 баллов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21 до 50 (включительно)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30 баллов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51 и более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35 баллов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до 5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5 до 15 (включительно)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10 баллов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15 до 20 (включительно)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30 баллов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20 и более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35 баллов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3) Наличие у организации грязевого отделения (указать количество мест в отделении)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до 3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3 до 5 (включительно)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10 баллов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6 до 10 (включительно)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20 баллов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от 11 и более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30 баллов</w:t>
            </w:r>
          </w:p>
        </w:tc>
      </w:tr>
      <w:tr w:rsidR="00BD7D23" w:rsidRPr="00BD7D23" w:rsidTr="00D34C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П 4 «деловая репутация участника закупки»</w:t>
            </w:r>
          </w:p>
          <w:p w:rsidR="00BD7D23" w:rsidRPr="00BD7D23" w:rsidRDefault="00BD7D23" w:rsidP="00BD7D23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Коэффициент значимости показателя –0,1.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1) Отсутствие вступивших в законную силу судебных решений по жалобам граждан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50 баллов</w:t>
            </w: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2) Наличие вступивших в законную силу судебных решений по жалобам граждан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</w:t>
            </w: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50 баллов</w:t>
            </w: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;</w:t>
            </w:r>
          </w:p>
          <w:p w:rsidR="00BD7D23" w:rsidRPr="00BD7D23" w:rsidRDefault="00BD7D23" w:rsidP="00BD7D23">
            <w:pPr>
              <w:keepNext/>
              <w:keepLines/>
              <w:suppressAutoHyphens/>
              <w:spacing w:before="100" w:after="10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BD7D2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BD7D23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0 баллов.</w:t>
            </w:r>
          </w:p>
        </w:tc>
      </w:tr>
    </w:tbl>
    <w:p w:rsidR="00BD7D23" w:rsidRDefault="00BD7D23" w:rsidP="002D61CD">
      <w:pPr>
        <w:keepNext/>
        <w:keepLines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D7D23" w:rsidSect="002D61CD">
      <w:type w:val="continuous"/>
      <w:pgSz w:w="11906" w:h="16838" w:code="9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83"/>
    <w:rsid w:val="00242983"/>
    <w:rsid w:val="002D61CD"/>
    <w:rsid w:val="002F0713"/>
    <w:rsid w:val="00313CB6"/>
    <w:rsid w:val="00A725EA"/>
    <w:rsid w:val="00BD7D23"/>
    <w:rsid w:val="00E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833C0-BE16-4E1D-A5D6-B257AFF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D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1132</Words>
  <Characters>6456</Characters>
  <Application>Microsoft Office Word</Application>
  <DocSecurity>0</DocSecurity>
  <Lines>53</Lines>
  <Paragraphs>15</Paragraphs>
  <ScaleCrop>false</ScaleCrop>
  <Company>Krasnodar region office of FSI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6</cp:revision>
  <dcterms:created xsi:type="dcterms:W3CDTF">2018-11-27T07:49:00Z</dcterms:created>
  <dcterms:modified xsi:type="dcterms:W3CDTF">2018-11-27T12:20:00Z</dcterms:modified>
</cp:coreProperties>
</file>