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2F" w:rsidRDefault="00E4012F" w:rsidP="00E4012F">
      <w:pPr>
        <w:keepNext/>
        <w:widowControl w:val="0"/>
        <w:shd w:val="clear" w:color="auto" w:fill="FFFFFF"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Критерии оценки заявок на участие в Конкурсе </w:t>
      </w:r>
    </w:p>
    <w:p w:rsidR="00E4012F" w:rsidRDefault="00E4012F" w:rsidP="00E4012F">
      <w:pPr>
        <w:keepNext/>
        <w:widowControl w:val="0"/>
        <w:shd w:val="clear" w:color="auto" w:fill="FFFFFF"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012F" w:rsidRDefault="00E4012F" w:rsidP="00E4012F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Оценка заявок производится на основании критериев оценки, их содержания и значимости, установленных в конкурсной документации, в соответствии с Постановлением Правительства РФ от 28.11.2013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</w:t>
      </w:r>
    </w:p>
    <w:p w:rsidR="00E4012F" w:rsidRDefault="00E4012F" w:rsidP="00E4012F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Критерии оценки заявок на участие в конкурсе, их содержание, значимость и порядок оценки: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E4012F" w:rsidRDefault="00E4012F" w:rsidP="00E4012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 Цена контракта.</w:t>
      </w:r>
    </w:p>
    <w:p w:rsidR="00E4012F" w:rsidRDefault="00E4012F" w:rsidP="00E4012F">
      <w:pPr>
        <w:widowControl w:val="0"/>
        <w:shd w:val="clear" w:color="auto" w:fill="FFFFFF"/>
        <w:suppressAutoHyphens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Значимость данного критерия составляет </w:t>
      </w:r>
      <w:r>
        <w:rPr>
          <w:rFonts w:ascii="Times New Roman" w:hAnsi="Times New Roman" w:cs="Times New Roman"/>
          <w:sz w:val="27"/>
          <w:szCs w:val="27"/>
        </w:rPr>
        <w:t xml:space="preserve">60 </w:t>
      </w:r>
      <w:r>
        <w:rPr>
          <w:rFonts w:ascii="Times New Roman" w:hAnsi="Times New Roman" w:cs="Times New Roman"/>
          <w:bCs/>
          <w:sz w:val="27"/>
          <w:szCs w:val="27"/>
        </w:rPr>
        <w:t>процентов.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E4012F" w:rsidRDefault="00E4012F" w:rsidP="00E4012F">
      <w:pPr>
        <w:widowControl w:val="0"/>
        <w:shd w:val="clear" w:color="auto" w:fill="FFFFFF"/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Значимость критерия оценки Заявок по цене составляет 60 процентов (коэффициент значимости – 0,6).</w:t>
      </w:r>
    </w:p>
    <w:p w:rsidR="00E4012F" w:rsidRDefault="00E4012F" w:rsidP="00E4012F">
      <w:pPr>
        <w:widowControl w:val="0"/>
        <w:shd w:val="clear" w:color="auto" w:fill="FFFFFF"/>
        <w:suppressAutoHyphens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7"/>
          <w:szCs w:val="27"/>
        </w:rPr>
        <w:t>Сведения по данному критерию предоставляются в виде Таблицы цен по Форме №10 (Приложение к Конкурсной документации).</w:t>
      </w: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Количество баллов, присуждаемых по критерию оценки "цена контракта" (ЦБ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), определяется по формуле:</w:t>
      </w: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sub_10161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а) в случае если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Ц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en-US"/>
        </w:rPr>
        <w:t>min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&gt;0,</w:t>
      </w:r>
    </w:p>
    <w:bookmarkEnd w:id="0"/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00175" cy="561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где:</w:t>
      </w: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9075" cy="25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- предложение участника закупки, заявка (предложение) которого оценивается;</w:t>
      </w: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1000" cy="257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- минимальное предложение из предложений по критерию оценки, сделанных участниками закупки;</w:t>
      </w: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б) в случае если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Ц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en-US"/>
        </w:rPr>
        <w:t>min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&lt;0,</w:t>
      </w: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66900" cy="581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005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- максимальное предложение из предложений по критерию, сделанных участниками закупки.</w:t>
      </w: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4012F" w:rsidRDefault="00E4012F" w:rsidP="00E4012F">
      <w:pPr>
        <w:widowControl w:val="0"/>
        <w:tabs>
          <w:tab w:val="left" w:pos="709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При оценке заявок по критерию «цена контракта» лучшим условием исполнения государственного (муниципального) контракта по указанному критерию признается предложение участника конкурса с наименьшей ценой контракта.</w:t>
      </w:r>
    </w:p>
    <w:p w:rsidR="00E4012F" w:rsidRDefault="00E4012F" w:rsidP="00E4012F">
      <w:pPr>
        <w:shd w:val="clear" w:color="auto" w:fill="FFFFFF"/>
        <w:suppressAutoHyphens w:val="0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left="-94" w:firstLine="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Нестоимостные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оценки:</w:t>
      </w:r>
    </w:p>
    <w:p w:rsidR="00E4012F" w:rsidRDefault="00E4012F" w:rsidP="00E4012F">
      <w:pPr>
        <w:shd w:val="clear" w:color="auto" w:fill="FFFFFF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2.1. Качественные, функциональные и экологические характеристики объекта закупки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значимости данного критерия составляет 30 процентов </w:t>
      </w:r>
      <w:r>
        <w:rPr>
          <w:rFonts w:ascii="Times New Roman" w:hAnsi="Times New Roman" w:cs="Times New Roman"/>
          <w:bCs/>
          <w:sz w:val="24"/>
          <w:szCs w:val="24"/>
        </w:rPr>
        <w:t>(коэффициент значимости – 0,3)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 предоставления  медицинских услуг сверх Стандартов санаторно-курортной помощи, утвержденных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согласно профилю лечения и Методическим указаниям Минздрава России от 2 октября 2001 года №2001/140 «Организация санаторного лечения лиц, пострадавших вследствие несчастных случаев на производстве и профессиональных заболеваний» по соответствующим профилям лечения.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значимости: 30 (коэффициент значимости 0,3). </w:t>
      </w:r>
    </w:p>
    <w:p w:rsidR="00E4012F" w:rsidRDefault="00E4012F" w:rsidP="00E4012F">
      <w:pPr>
        <w:shd w:val="clear" w:color="auto" w:fill="FFFFFF"/>
        <w:autoSpaceDE w:val="0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по данному критерию предоставляются в Форме № 4 (Приложение к Конкурсной документации).</w:t>
      </w:r>
    </w:p>
    <w:p w:rsidR="00E4012F" w:rsidRDefault="00E4012F" w:rsidP="00E4012F">
      <w:pPr>
        <w:shd w:val="clear" w:color="auto" w:fill="FFFFFF"/>
        <w:autoSpaceDE w:val="0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Оценивается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 предоставления  медицинских услуг сверх Стандартов санаторно-курортной помощи, утвержденных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согласно профилю лечения и Методическим указаниям Минздрава России от 2 октября 2001 года №2001/140 «Организация санаторного лечения лиц, пострадавших вследствие несчастных случаев на производстве и профессиональных заболеваний» по соответствующим профилям лечения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Оценке подлежат количество </w:t>
      </w:r>
      <w:r>
        <w:rPr>
          <w:rFonts w:ascii="Times New Roman" w:hAnsi="Times New Roman" w:cs="Times New Roman"/>
          <w:sz w:val="24"/>
          <w:szCs w:val="24"/>
        </w:rPr>
        <w:t>медицинских услуг сверх Стандартов, представленные участником в Форме № 4 (приложение к конкурсной документации)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не включённые в оценку в Форме №8 </w:t>
      </w:r>
      <w:r>
        <w:rPr>
          <w:rFonts w:ascii="Times New Roman" w:hAnsi="Times New Roman" w:cs="Times New Roman"/>
          <w:sz w:val="24"/>
          <w:szCs w:val="24"/>
        </w:rPr>
        <w:t>(приложение к конкурсной документации)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Лучшим условием исполнения контракта является наибольшее значение критерия оценки  по показателю «</w:t>
      </w:r>
      <w:r>
        <w:rPr>
          <w:rFonts w:ascii="Times New Roman" w:hAnsi="Times New Roman" w:cs="Times New Roman"/>
          <w:sz w:val="24"/>
          <w:szCs w:val="24"/>
        </w:rPr>
        <w:t xml:space="preserve">Возможность  предоставления  медицинских услуг сверх Стандартов санаторно-курортной помощи, утвержденных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согласно профилю лечения и Методическим указаниям Минздрава России от 2 октября 2001 года №2001/140 «Организация санаторного лечения лиц, пострадавших вследствие несчастных случаев на производстве и профессиональных заболеваний» по соответствующим профилям лечения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баллов (НЦБ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), определяется по формуле: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НЦБ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= К3 *100*(К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коэффициент значимости показателя.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4765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- предложение участника закупки, заявка (предложение) которого оценивается (количество </w:t>
      </w:r>
      <w:r>
        <w:rPr>
          <w:rFonts w:ascii="Times New Roman" w:hAnsi="Times New Roman" w:cs="Times New Roman"/>
          <w:sz w:val="24"/>
          <w:szCs w:val="24"/>
        </w:rPr>
        <w:t>медицинских услуг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E4012F" w:rsidRDefault="00E4012F" w:rsidP="00E4012F">
      <w:pPr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191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 (количество </w:t>
      </w:r>
      <w:r>
        <w:rPr>
          <w:rFonts w:ascii="Times New Roman" w:hAnsi="Times New Roman" w:cs="Times New Roman"/>
          <w:sz w:val="24"/>
          <w:szCs w:val="24"/>
        </w:rPr>
        <w:t>медицинских услуг)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 </w:t>
      </w:r>
      <w:r>
        <w:rPr>
          <w:rFonts w:ascii="Times New Roman" w:hAnsi="Times New Roman" w:cs="Times New Roman"/>
          <w:sz w:val="24"/>
          <w:szCs w:val="24"/>
        </w:rPr>
        <w:t xml:space="preserve">Наличие социально-бытовых условий, предоставляемых застрахованным лицам, пострадавшим вследствие несчастных случаев на производстве и профессиональных заболеваний при оказании услуг по санаторно-курортному лечению. 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значимости: 30 (коэффициент значимости 0,3). </w:t>
      </w: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выставляемых по данному подкритерию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данному подкритерию предоставляется по Форме № 7 (Приложение к конкурсной документации).</w:t>
      </w:r>
    </w:p>
    <w:p w:rsidR="00E4012F" w:rsidRDefault="00E4012F" w:rsidP="00E4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пункт Формы № 7 оценивается в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балла.</w:t>
      </w:r>
    </w:p>
    <w:p w:rsidR="00E4012F" w:rsidRDefault="00E4012F" w:rsidP="00E4012F">
      <w:pPr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 суммируются.</w:t>
      </w:r>
    </w:p>
    <w:p w:rsidR="00E4012F" w:rsidRDefault="00E4012F" w:rsidP="00E4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2.1.3. </w:t>
      </w:r>
      <w:r>
        <w:rPr>
          <w:rFonts w:ascii="Times New Roman" w:hAnsi="Times New Roman" w:cs="Times New Roman"/>
          <w:sz w:val="24"/>
          <w:szCs w:val="24"/>
        </w:rPr>
        <w:t xml:space="preserve">Наличие природных и лечебных факторов, используемых для целей санаторно-курортного лечения. 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Величина значимости: 40 (коэффициент значимости 0,4). </w:t>
      </w:r>
    </w:p>
    <w:p w:rsidR="00E4012F" w:rsidRDefault="00E4012F" w:rsidP="00E40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благоприятных природных лечебных факторов, используемых для целей санаторно-курортного лечения.</w:t>
      </w:r>
    </w:p>
    <w:p w:rsidR="00E4012F" w:rsidRDefault="00E4012F" w:rsidP="00E4012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баллов, выставляемых по данному подкритерию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Присвоение баллов производится, исходя из следующего:</w:t>
      </w:r>
    </w:p>
    <w:p w:rsidR="00E4012F" w:rsidRDefault="00E4012F" w:rsidP="00E40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наличии более 5-х природных лечебных факторов – 40 баллов;</w:t>
      </w:r>
    </w:p>
    <w:p w:rsidR="00E4012F" w:rsidRDefault="00E4012F" w:rsidP="00E40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наличии 3-4-х природных лечебных факторов –20 баллов;</w:t>
      </w:r>
    </w:p>
    <w:p w:rsidR="00E4012F" w:rsidRDefault="00E4012F" w:rsidP="00E40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наличии  1-2-х природных лечебных факторов –10 баллов</w:t>
      </w:r>
    </w:p>
    <w:p w:rsidR="00E4012F" w:rsidRDefault="00E4012F" w:rsidP="00E401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отсутствии природных лечебных факторов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баллов.</w:t>
      </w:r>
    </w:p>
    <w:p w:rsidR="00E4012F" w:rsidRDefault="00E4012F" w:rsidP="00E4012F">
      <w:pPr>
        <w:keepNext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данному подкритерию предоставляется по Форме № 8 </w:t>
      </w:r>
      <w:r>
        <w:rPr>
          <w:rFonts w:ascii="Times New Roman" w:hAnsi="Times New Roman" w:cs="Times New Roman"/>
          <w:bCs/>
          <w:sz w:val="24"/>
          <w:szCs w:val="24"/>
        </w:rPr>
        <w:t>(Приложение к конкурсной документации)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 суммируются.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63" w:firstLine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sz w:val="24"/>
          <w:szCs w:val="24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значимости данного критерия составляет 10 процентов </w:t>
      </w:r>
      <w:r>
        <w:rPr>
          <w:rFonts w:ascii="Times New Roman" w:hAnsi="Times New Roman" w:cs="Times New Roman"/>
          <w:bCs/>
          <w:sz w:val="24"/>
          <w:szCs w:val="24"/>
        </w:rPr>
        <w:t>(коэффициент значимости – 0,1)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>
        <w:rPr>
          <w:rFonts w:ascii="Times New Roman" w:hAnsi="Times New Roman" w:cs="Times New Roman"/>
          <w:bCs/>
          <w:sz w:val="24"/>
          <w:szCs w:val="24"/>
        </w:rPr>
        <w:t>Опыт работы по медицинской реабилитации застрахованных лиц, пострадавших вследствие несчастных случаев на производстве и профессиональных заболеваний.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значимости: 50 (коэффициент значимости 0,5). 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Оценивается срок работы организации по медицинской реабилитации застрахованных лиц, пострадавших вследствие несчастных случаев на производстве и профессиональных заболеваний. 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по данному критерию предоставляются в Форме № 5 (Приложение к Конкурсной документации). Срок работы организации по медицинской реабилитации застрахованных лиц, пострадавших вследствие несчастных случаев на производстве и профессиональных заболеваний, указывается в годах.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Лучшим условием исполнения контракта является наибольшее значение критерия оценки  по показателю «Опыт работы по медицинской реабилитации застрахованных лиц, пострадавших вследствие несчастных случаев на производстве и профессиональных заболеваний». Количество баллов (НЦБ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), определяется по формуле: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488" w:firstLine="1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-94"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НЦБ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= К3 *100*(К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488" w:firstLine="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488" w:firstLine="1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коэффициент значимости показателя.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488" w:firstLine="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используется один показатель,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= 1;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488" w:firstLine="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476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- предложение участника закупки, заявка (предложение) которого оценивается (опыт работы, указанный в годах);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488" w:firstLine="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191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 (опыт работы, указанный в годах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488" w:firstLine="1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12F" w:rsidRDefault="00E4012F" w:rsidP="00E4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Наличие в штате организации, </w:t>
      </w:r>
      <w:r>
        <w:rPr>
          <w:rFonts w:ascii="Times New Roman" w:hAnsi="Times New Roman" w:cs="Times New Roman"/>
          <w:sz w:val="24"/>
          <w:szCs w:val="24"/>
        </w:rPr>
        <w:t>врачей - специалистов соответствующих профилю санаторно-курортного учреждения с приложением сертификатов по соответствующей клинической специальности, документов о специализации, квалификационной категории.</w:t>
      </w:r>
    </w:p>
    <w:p w:rsidR="00E4012F" w:rsidRDefault="00E4012F" w:rsidP="00E4012F">
      <w:pPr>
        <w:shd w:val="clear" w:color="auto" w:fill="FFFFFF"/>
        <w:snapToGrid w:val="0"/>
        <w:spacing w:after="0" w:line="240" w:lineRule="auto"/>
        <w:ind w:left="488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значимости: 50 (коэффициент значимости 0,5). </w:t>
      </w:r>
    </w:p>
    <w:p w:rsidR="00E4012F" w:rsidRDefault="00E4012F" w:rsidP="00E40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баллов, выставляемых по данному подкритерию – </w:t>
      </w:r>
      <w:r>
        <w:rPr>
          <w:rFonts w:ascii="Times New Roman" w:hAnsi="Times New Roman" w:cs="Times New Roman"/>
          <w:b/>
          <w:bCs/>
          <w:sz w:val="24"/>
          <w:szCs w:val="24"/>
        </w:rPr>
        <w:t>50 баллов</w:t>
      </w:r>
      <w:r>
        <w:rPr>
          <w:rFonts w:ascii="Times New Roman" w:hAnsi="Times New Roman" w:cs="Times New Roman"/>
          <w:bCs/>
          <w:sz w:val="24"/>
          <w:szCs w:val="24"/>
        </w:rPr>
        <w:t>. Присвоение баллов производится, исходя из следующего:</w:t>
      </w:r>
    </w:p>
    <w:p w:rsidR="00E4012F" w:rsidRDefault="00E4012F" w:rsidP="00E4012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наличии 100% укомплектованности - 50 баллов;</w:t>
      </w:r>
    </w:p>
    <w:p w:rsidR="00E4012F" w:rsidRDefault="00E4012F" w:rsidP="00E4012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наличии 80-99% -30 баллов;</w:t>
      </w:r>
    </w:p>
    <w:p w:rsidR="00E4012F" w:rsidRDefault="00E4012F" w:rsidP="00E4012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наличии 60-79% - 10 баллов;</w:t>
      </w:r>
    </w:p>
    <w:p w:rsidR="00E4012F" w:rsidRDefault="00E4012F" w:rsidP="00E4012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наличии менее 60% - 0 баллов.</w:t>
      </w:r>
    </w:p>
    <w:p w:rsidR="00E4012F" w:rsidRDefault="00E4012F" w:rsidP="00E4012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Информация по данному подкритерию предоставляется в виде таблицы (Форма № 6)</w:t>
      </w: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Порядок оценки заявок на участие в конкурсе</w:t>
      </w: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1.Оценка и сопоставление Заявок будет осуществляться единой комиссией </w:t>
      </w: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2.Единая комиссия оценивает и сопоставляет Заявки в соответствии с критериями (с учетом их значимости), установленными конкурсной документацией.</w:t>
      </w: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3.Оценка и сопоставление Заявок будет осуществляться в соответствии с правилами оценки заявок на участие в конкурсе на право заключить государственный или муниципальный контракт на поставки товаров, выполнение работ, оказание услуг для государственных или муниципальных нужд, утвержденных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10 сентября 2009 № 722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012F" w:rsidRDefault="00E4012F" w:rsidP="00E4012F">
      <w:pPr>
        <w:widowControl w:val="0"/>
        <w:shd w:val="clear" w:color="auto" w:fill="FFFFFF"/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012F" w:rsidRDefault="00E4012F" w:rsidP="00E4012F">
      <w:pPr>
        <w:widowControl w:val="0"/>
        <w:shd w:val="clear" w:color="auto" w:fill="FFFFFF"/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4. Совокупная значимость критериев оценки Заявок составляет сто процентов.</w:t>
      </w: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012F" w:rsidRDefault="00E4012F" w:rsidP="00E4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042D" w:rsidRDefault="0047042D">
      <w:bookmarkStart w:id="1" w:name="_GoBack"/>
      <w:bookmarkEnd w:id="1"/>
    </w:p>
    <w:sectPr w:rsidR="0047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82"/>
    <w:rsid w:val="0047042D"/>
    <w:rsid w:val="00E4012F"/>
    <w:rsid w:val="00E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6978</Characters>
  <Application>Microsoft Office Word</Application>
  <DocSecurity>0</DocSecurity>
  <Lines>58</Lines>
  <Paragraphs>16</Paragraphs>
  <ScaleCrop>false</ScaleCrop>
  <Company>FSS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УвароваЮБ</dc:creator>
  <cp:keywords/>
  <dc:description/>
  <cp:lastModifiedBy>УвароваЮБ</cp:lastModifiedBy>
  <cp:revision>2</cp:revision>
  <dcterms:created xsi:type="dcterms:W3CDTF">2018-12-14T06:39:00Z</dcterms:created>
  <dcterms:modified xsi:type="dcterms:W3CDTF">2018-12-14T06:39:00Z</dcterms:modified>
</cp:coreProperties>
</file>