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proofErr w:type="gramStart"/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sz w:val="22"/>
          <w:szCs w:val="22"/>
        </w:rPr>
        <w:t xml:space="preserve">1. Настоящий раздел определяет порядок оценки заявок на участие в конкурсе, содержание и значимость критериев оценки заявок, осуществляемых комиссией в целях </w:t>
      </w:r>
      <w:r w:rsidRPr="00335B39">
        <w:rPr>
          <w:bCs/>
          <w:sz w:val="22"/>
          <w:szCs w:val="22"/>
        </w:rPr>
        <w:t>выявления лучших условий исполнения государственного контракта.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2. Значимость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выраженный в процентах.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Коэффициент значимости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деленный на 100.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 xml:space="preserve">Рейтинг заявки (предложения) по критерию оценки представляет собой оценку в баллах, получаемую участником закупки по результатам оценки по критерию оценки с учетом коэффициента значимости критерия оценки. 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bCs/>
          <w:sz w:val="22"/>
          <w:szCs w:val="22"/>
        </w:rPr>
        <w:t xml:space="preserve">3. </w:t>
      </w:r>
      <w:proofErr w:type="gramStart"/>
      <w:r w:rsidRPr="00335B39">
        <w:rPr>
          <w:bCs/>
          <w:sz w:val="22"/>
          <w:szCs w:val="22"/>
        </w:rPr>
        <w:t>Оценка заявок</w:t>
      </w:r>
      <w:r w:rsidRPr="00335B39">
        <w:rPr>
          <w:sz w:val="22"/>
          <w:szCs w:val="22"/>
        </w:rPr>
        <w:t xml:space="preserve"> производится на основании критериев оценки, их содержания и значимости, установленных в конкурсной документации, в соответствии с </w:t>
      </w:r>
      <w:r w:rsidRPr="00335B39">
        <w:rPr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</w:t>
      </w:r>
      <w:proofErr w:type="gramEnd"/>
      <w:r w:rsidRPr="00335B39">
        <w:rPr>
          <w:bCs/>
          <w:sz w:val="22"/>
          <w:szCs w:val="22"/>
        </w:rPr>
        <w:t xml:space="preserve"> 28.11.2013 № 1085</w:t>
      </w:r>
      <w:r w:rsidRPr="00335B39">
        <w:rPr>
          <w:sz w:val="22"/>
          <w:szCs w:val="22"/>
        </w:rPr>
        <w:t>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4. 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заявки, установленному в конкурсной документации. 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5.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335B39">
        <w:rPr>
          <w:b/>
          <w:sz w:val="22"/>
          <w:szCs w:val="22"/>
        </w:rPr>
        <w:t>1. Цена контракта.</w:t>
      </w:r>
    </w:p>
    <w:p w:rsidR="00335B39" w:rsidRPr="00335B39" w:rsidRDefault="00335B39" w:rsidP="00335B3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335B39">
        <w:rPr>
          <w:color w:val="000000"/>
          <w:spacing w:val="-1"/>
          <w:sz w:val="22"/>
          <w:szCs w:val="22"/>
        </w:rPr>
        <w:t>Значимость данного критерия составляет 70% (коэффициент значимости критерия оценки 0,7).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335B39" w:rsidRPr="00335B39" w:rsidRDefault="00335B39" w:rsidP="00335B39">
      <w:pPr>
        <w:widowControl w:val="0"/>
        <w:ind w:firstLine="19"/>
        <w:jc w:val="both"/>
        <w:rPr>
          <w:sz w:val="22"/>
          <w:szCs w:val="22"/>
        </w:rPr>
      </w:pPr>
      <w:r w:rsidRPr="00335B39">
        <w:rPr>
          <w:position w:val="-30"/>
          <w:sz w:val="22"/>
          <w:szCs w:val="22"/>
        </w:rPr>
        <w:t xml:space="preserve">                                       </w:t>
      </w:r>
      <w:r w:rsidRPr="00335B39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52E989F2" wp14:editId="645DF0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где: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02D64083" wp14:editId="707587BA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67E4D5DE" wp14:editId="50ED9A9C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b/>
          <w:sz w:val="22"/>
          <w:szCs w:val="22"/>
        </w:rPr>
        <w:t xml:space="preserve">2. </w:t>
      </w:r>
      <w:proofErr w:type="spellStart"/>
      <w:r w:rsidRPr="00335B39">
        <w:rPr>
          <w:b/>
          <w:sz w:val="22"/>
          <w:szCs w:val="22"/>
        </w:rPr>
        <w:t>Нестоимостные</w:t>
      </w:r>
      <w:proofErr w:type="spellEnd"/>
      <w:r w:rsidRPr="00335B39">
        <w:rPr>
          <w:b/>
          <w:sz w:val="22"/>
          <w:szCs w:val="22"/>
        </w:rPr>
        <w:t xml:space="preserve"> критерии:</w:t>
      </w:r>
    </w:p>
    <w:p w:rsidR="00335B39" w:rsidRPr="00335B39" w:rsidRDefault="00335B39" w:rsidP="00335B39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335B39">
        <w:rPr>
          <w:b/>
          <w:bCs/>
          <w:sz w:val="22"/>
          <w:szCs w:val="22"/>
        </w:rPr>
        <w:t>2.</w:t>
      </w:r>
      <w:r w:rsidRPr="00335B39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335B39">
        <w:rPr>
          <w:sz w:val="22"/>
          <w:szCs w:val="22"/>
        </w:rPr>
        <w:t>определенного уровня квалификации.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 xml:space="preserve">Значимость  данного  критерия  составляет 10 % (коэффициент  значимости </w:t>
      </w:r>
      <w:r w:rsidRPr="00335B39">
        <w:rPr>
          <w:color w:val="000000"/>
          <w:spacing w:val="-1"/>
          <w:sz w:val="22"/>
          <w:szCs w:val="22"/>
        </w:rPr>
        <w:t xml:space="preserve">критерия оценки </w:t>
      </w:r>
      <w:r w:rsidRPr="00335B39">
        <w:rPr>
          <w:bCs/>
          <w:sz w:val="22"/>
          <w:szCs w:val="22"/>
        </w:rPr>
        <w:t>0,1).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0" w:name="bookmark3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0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</w:t>
      </w:r>
      <w:r w:rsidRPr="00335B39">
        <w:rPr>
          <w:b/>
          <w:sz w:val="22"/>
          <w:szCs w:val="22"/>
        </w:rPr>
        <w:t>50.</w:t>
      </w:r>
      <w:r w:rsidRPr="00335B39">
        <w:rPr>
          <w:sz w:val="22"/>
          <w:szCs w:val="22"/>
        </w:rPr>
        <w:t xml:space="preserve"> 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4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1"/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bidi="ru-RU"/>
        </w:rPr>
      </w:pPr>
      <w:r w:rsidRPr="00335B39">
        <w:rPr>
          <w:color w:val="000000"/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335B39">
        <w:rPr>
          <w:color w:val="000000"/>
          <w:sz w:val="22"/>
          <w:szCs w:val="22"/>
          <w:lang w:bidi="ru-RU"/>
        </w:rPr>
        <w:tab/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Оценивается количество контрактов, исполненных в полном объеме, без штрафных: санкций, заключенным в т</w:t>
      </w:r>
      <w:bookmarkStart w:id="2" w:name="_GoBack"/>
      <w:bookmarkEnd w:id="2"/>
      <w:r w:rsidRPr="00335B39">
        <w:rPr>
          <w:rFonts w:ascii="Times New Roman" w:hAnsi="Times New Roman" w:cs="Times New Roman"/>
          <w:b w:val="0"/>
          <w:color w:val="000000"/>
          <w:lang w:bidi="ru-RU"/>
        </w:rPr>
        <w:t>ечени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и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10 штук.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lastRenderedPageBreak/>
        <w:t>Подтверждается копиями государственных контрактов, актов оказанных услуг к ним.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),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widowControl w:val="0"/>
        <w:ind w:firstLine="567"/>
        <w:jc w:val="both"/>
        <w:rPr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2.1.2. </w:t>
      </w:r>
      <w:r w:rsidRPr="00335B39">
        <w:rPr>
          <w:b/>
          <w:color w:val="000000"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35B39">
        <w:rPr>
          <w:sz w:val="22"/>
          <w:szCs w:val="22"/>
          <w:u w:val="single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- 50. 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 данному показателю оценивается: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и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300 000 руб.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ах)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i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K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max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3" w:name="bookmark6"/>
      <w:r w:rsidRPr="00335B39">
        <w:rPr>
          <w:rFonts w:ascii="Times New Roman" w:hAnsi="Times New Roman" w:cs="Times New Roman"/>
          <w:b w:val="0"/>
          <w:color w:val="000000"/>
          <w:lang w:bidi="ru-RU"/>
        </w:rPr>
        <w:t>Формула расчета рейтинга, присуждаемого заявке по данному критерию оценки:</w:t>
      </w:r>
      <w:bookmarkEnd w:id="3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х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 +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 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1,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2.2. Качество Товара: 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Значимость  данного  критерия  составляет 20 % (коэффициент  значимости</w:t>
      </w:r>
      <w:r w:rsidRPr="00335B39">
        <w:rPr>
          <w:color w:val="000000"/>
          <w:spacing w:val="-1"/>
          <w:sz w:val="22"/>
          <w:szCs w:val="22"/>
        </w:rPr>
        <w:t xml:space="preserve"> критерия оценки </w:t>
      </w:r>
      <w:r w:rsidRPr="00335B39">
        <w:rPr>
          <w:bCs/>
          <w:sz w:val="22"/>
          <w:szCs w:val="22"/>
        </w:rPr>
        <w:t>0,2).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2.2.1. Сиденье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имеет возможность регулировки по ширине и глубине.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20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2.2.1.1.</w:t>
      </w:r>
      <w:r w:rsidRPr="00335B39">
        <w:rPr>
          <w:b/>
          <w:bCs/>
          <w:spacing w:val="-2"/>
          <w:sz w:val="22"/>
          <w:szCs w:val="22"/>
        </w:rPr>
        <w:t xml:space="preserve"> </w:t>
      </w:r>
      <w:r w:rsidRPr="00335B39">
        <w:rPr>
          <w:bCs/>
          <w:spacing w:val="-2"/>
          <w:sz w:val="22"/>
          <w:szCs w:val="22"/>
        </w:rPr>
        <w:t xml:space="preserve">сиденье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имеет возможность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20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2.2.1.2. сиденье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не имеет возможности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2.2.2. Спинка сиденья оборудована съёмным  подголовником.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2.2.2.1. Подголовник спинки сиденья съёмный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2.2.2.2. Подголовник спинки сиденья  не съёмный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2.2.3. Подножки кресла-коляски регулируются по длине.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2.2.3.1. </w:t>
      </w:r>
      <w:r w:rsidRPr="00335B39">
        <w:rPr>
          <w:sz w:val="22"/>
          <w:szCs w:val="22"/>
        </w:rPr>
        <w:t>Подножки кресла-коляски регулируются по длине</w:t>
      </w:r>
      <w:r w:rsidRPr="00335B39">
        <w:rPr>
          <w:bCs/>
          <w:spacing w:val="-2"/>
          <w:sz w:val="22"/>
          <w:szCs w:val="22"/>
        </w:rPr>
        <w:t xml:space="preserve">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2.2.3.2. </w:t>
      </w:r>
      <w:r w:rsidRPr="00335B39">
        <w:rPr>
          <w:sz w:val="22"/>
          <w:szCs w:val="22"/>
        </w:rPr>
        <w:t>Подножки кресла-коляски не регулируются по длине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lastRenderedPageBreak/>
        <w:t>2.2.4. Кресла-коляски оборудованы съёмными боковыми держателями.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2.2.4.1. Кресла-коляски оборудованы съёмными боковыми держателями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2.2.4.2. Кресла-коляски не оборудованы съёмными боковыми держателями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2.2.5.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имеют съёмную обивку сиденья из прочной ячеистой ткани.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2.2.5.1.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имеют съёмную обивку сиденья из прочной ячеистой ткани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2.2.5.2. У </w:t>
      </w:r>
      <w:proofErr w:type="gramStart"/>
      <w:r w:rsidRPr="00335B39">
        <w:rPr>
          <w:bCs/>
          <w:spacing w:val="-2"/>
          <w:sz w:val="22"/>
          <w:szCs w:val="22"/>
        </w:rPr>
        <w:t>кресло-колясок</w:t>
      </w:r>
      <w:proofErr w:type="gramEnd"/>
      <w:r w:rsidRPr="00335B39">
        <w:rPr>
          <w:bCs/>
          <w:spacing w:val="-2"/>
          <w:sz w:val="22"/>
          <w:szCs w:val="22"/>
        </w:rPr>
        <w:t xml:space="preserve"> отсутствует съёмная обивка сиденья из прочной ячеистой ткани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2.2.6.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оборудованы принудительными ручными тормозами для сопровождающего лица.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2.2.6.1.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оборудованы принудительными ручными тормозами для сопровождающего лица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2.2.6.2.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не оборудованы принудительными ручными тормозами для сопровождающего лица – 0 баллов.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sz w:val="22"/>
          <w:szCs w:val="22"/>
        </w:rPr>
      </w:pPr>
      <w:bookmarkStart w:id="4" w:name="bookmark7"/>
      <w:r w:rsidRPr="00335B39">
        <w:rPr>
          <w:b/>
          <w:sz w:val="22"/>
          <w:szCs w:val="22"/>
        </w:rPr>
        <w:t>3. Расчет итогового рейтинга</w:t>
      </w:r>
      <w:bookmarkEnd w:id="4"/>
      <w:r w:rsidRPr="00335B39">
        <w:rPr>
          <w:b/>
          <w:sz w:val="22"/>
          <w:szCs w:val="22"/>
        </w:rPr>
        <w:t>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- итоговый рейтинг, присуждаемый i-й заявке;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«Цена контракта»;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«Качество Товара».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5" w:name="bookmark8"/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Порядок оценки заявок по критериям оценки заявок</w:t>
      </w:r>
      <w:bookmarkEnd w:id="5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Сумма величин значимости 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критериев оценки, применяемых заказчиком составляет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100 процентов.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Для оценки заявок по каждому критерию оценки используется 100-балльная шкала оценки.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sz w:val="22"/>
          <w:szCs w:val="22"/>
        </w:rPr>
      </w:pPr>
      <w:r w:rsidRPr="00335B39">
        <w:rPr>
          <w:color w:val="000000"/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4B96" w:rsidRDefault="00754B96" w:rsidP="00335B39">
      <w:pPr>
        <w:jc w:val="both"/>
      </w:pPr>
    </w:p>
    <w:sectPr w:rsidR="00754B96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39"/>
    <w:rsid w:val="00335B39"/>
    <w:rsid w:val="007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Негатин Михаил Ростиславович</cp:lastModifiedBy>
  <cp:revision>1</cp:revision>
  <dcterms:created xsi:type="dcterms:W3CDTF">2019-02-05T01:50:00Z</dcterms:created>
  <dcterms:modified xsi:type="dcterms:W3CDTF">2019-02-05T02:00:00Z</dcterms:modified>
</cp:coreProperties>
</file>