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38" w:rsidRDefault="00702238" w:rsidP="00702238">
      <w:pPr>
        <w:pStyle w:val="wP38"/>
      </w:pPr>
    </w:p>
    <w:p w:rsidR="00702238" w:rsidRDefault="00702238" w:rsidP="00702238">
      <w:pPr>
        <w:snapToGrid w:val="0"/>
        <w:jc w:val="center"/>
        <w:rPr>
          <w:b/>
          <w:sz w:val="28"/>
          <w:szCs w:val="28"/>
        </w:rPr>
      </w:pPr>
      <w:r w:rsidRPr="00B637EC">
        <w:rPr>
          <w:b/>
          <w:sz w:val="28"/>
          <w:szCs w:val="28"/>
        </w:rPr>
        <w:t>Критерии оценки заявок на участие в открытом конкурсе</w:t>
      </w:r>
      <w:r>
        <w:rPr>
          <w:b/>
          <w:sz w:val="28"/>
          <w:szCs w:val="28"/>
        </w:rPr>
        <w:t xml:space="preserve"> в электронной форме (далее – открытом конкурсе)</w:t>
      </w:r>
      <w:r w:rsidRPr="00B637EC">
        <w:rPr>
          <w:b/>
          <w:sz w:val="28"/>
          <w:szCs w:val="28"/>
        </w:rPr>
        <w:t xml:space="preserve">, величины значимости этих критериев, порядок рассмотрения и оценки заявок на участие в открытом конкурсе </w:t>
      </w:r>
    </w:p>
    <w:p w:rsidR="00702238" w:rsidRPr="00B637EC" w:rsidRDefault="00702238" w:rsidP="00702238">
      <w:pPr>
        <w:snapToGrid w:val="0"/>
        <w:jc w:val="center"/>
        <w:rPr>
          <w:b/>
          <w:kern w:val="1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702238" w:rsidRPr="00251DCF" w:rsidTr="00702238">
        <w:trPr>
          <w:trHeight w:val="414"/>
        </w:trPr>
        <w:tc>
          <w:tcPr>
            <w:tcW w:w="8992" w:type="dxa"/>
            <w:shd w:val="clear" w:color="auto" w:fill="auto"/>
          </w:tcPr>
          <w:p w:rsidR="00702238" w:rsidRDefault="00702238" w:rsidP="009D5D60">
            <w:pPr>
              <w:snapToGrid w:val="0"/>
              <w:jc w:val="both"/>
              <w:rPr>
                <w:b/>
                <w:kern w:val="1"/>
              </w:rPr>
            </w:pPr>
            <w:r w:rsidRPr="00EB54C2">
              <w:rPr>
                <w:rFonts w:cs="Times New Roman"/>
                <w:b/>
              </w:rPr>
      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      </w:r>
            <w:r w:rsidRPr="00EB54C2">
              <w:rPr>
                <w:b/>
                <w:kern w:val="1"/>
              </w:rPr>
              <w:t>.</w:t>
            </w:r>
          </w:p>
          <w:p w:rsidR="00702238" w:rsidRDefault="00702238" w:rsidP="009D5D60">
            <w:pPr>
              <w:keepNext/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17"/>
              <w:gridCol w:w="2834"/>
              <w:gridCol w:w="2124"/>
              <w:gridCol w:w="9"/>
              <w:gridCol w:w="1356"/>
              <w:gridCol w:w="1213"/>
              <w:gridCol w:w="1061"/>
              <w:gridCol w:w="10"/>
              <w:gridCol w:w="11"/>
            </w:tblGrid>
            <w:tr w:rsidR="00702238" w:rsidRPr="00A13D2E" w:rsidTr="00702238">
              <w:trPr>
                <w:gridAfter w:val="2"/>
                <w:wAfter w:w="21" w:type="dxa"/>
                <w:cantSplit/>
                <w:trHeight w:val="352"/>
              </w:trPr>
              <w:tc>
                <w:tcPr>
                  <w:tcW w:w="451" w:type="dxa"/>
                  <w:textDirection w:val="btLr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850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124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 w:firstLine="95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 xml:space="preserve">Показатели критериев оценки заявок на участие в конкурсе 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Значимость критериев оценки заявок на участие в конкурсе в процентах (максимально возможное)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Коэффициент значения показателя критерия 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Обозначение рейтинга по критерию / показателю</w:t>
                  </w:r>
                </w:p>
              </w:tc>
            </w:tr>
            <w:tr w:rsidR="00702238" w:rsidRPr="00A13D2E" w:rsidTr="00702238">
              <w:trPr>
                <w:cantSplit/>
                <w:trHeight w:val="40"/>
              </w:trPr>
              <w:tc>
                <w:tcPr>
                  <w:tcW w:w="9085" w:type="dxa"/>
                  <w:gridSpan w:val="10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89"/>
              </w:trPr>
              <w:tc>
                <w:tcPr>
                  <w:tcW w:w="468" w:type="dxa"/>
                  <w:gridSpan w:val="2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1.</w:t>
                  </w: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Цена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70,0</w:t>
                  </w: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0,70</w:t>
                  </w: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Ra</w:t>
                  </w:r>
                </w:p>
              </w:tc>
            </w:tr>
            <w:tr w:rsidR="00702238" w:rsidRPr="00A13D2E" w:rsidTr="00702238">
              <w:trPr>
                <w:trHeight w:val="28"/>
              </w:trPr>
              <w:tc>
                <w:tcPr>
                  <w:tcW w:w="9085" w:type="dxa"/>
                  <w:gridSpan w:val="10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rPr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Нестоимостные</w:t>
                  </w:r>
                  <w:proofErr w:type="spellEnd"/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394"/>
              </w:trPr>
              <w:tc>
                <w:tcPr>
                  <w:tcW w:w="468" w:type="dxa"/>
                  <w:gridSpan w:val="2"/>
                  <w:vMerge w:val="restart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</w: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30,0</w:t>
                  </w: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0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t>,</w:t>
                  </w:r>
                  <w:r w:rsidRPr="00A13D2E">
                    <w:rPr>
                      <w:sz w:val="22"/>
                      <w:szCs w:val="22"/>
                      <w:lang w:val="en-US" w:eastAsia="ru-RU"/>
                    </w:rPr>
                    <w:t>3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t>0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proofErr w:type="spellStart"/>
                  <w:r w:rsidRPr="00A13D2E">
                    <w:rPr>
                      <w:sz w:val="22"/>
                      <w:szCs w:val="22"/>
                      <w:lang w:val="en-US" w:eastAsia="ru-RU"/>
                    </w:rPr>
                    <w:t>Rb</w:t>
                  </w:r>
                  <w:proofErr w:type="spellEnd"/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22"/>
              </w:trPr>
              <w:tc>
                <w:tcPr>
                  <w:tcW w:w="468" w:type="dxa"/>
                  <w:gridSpan w:val="2"/>
                  <w:vMerge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  <w:tab w:val="left" w:pos="464"/>
                      <w:tab w:val="left" w:pos="1411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2.1.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0,40</w:t>
                  </w:r>
                </w:p>
              </w:tc>
              <w:tc>
                <w:tcPr>
                  <w:tcW w:w="1061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b1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22"/>
              </w:trPr>
              <w:tc>
                <w:tcPr>
                  <w:tcW w:w="468" w:type="dxa"/>
                  <w:gridSpan w:val="2"/>
                  <w:vMerge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 xml:space="preserve">2.2. Опыт участника по успешной поставке товара, выполнению работ, оказанию услуг 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lastRenderedPageBreak/>
                    <w:t>сопоставимого характера и объема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0,60</w:t>
                  </w:r>
                </w:p>
              </w:tc>
              <w:tc>
                <w:tcPr>
                  <w:tcW w:w="1061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b2</w:t>
                  </w:r>
                </w:p>
              </w:tc>
            </w:tr>
            <w:tr w:rsidR="00702238" w:rsidRPr="00A13D2E" w:rsidTr="00702238">
              <w:trPr>
                <w:gridAfter w:val="1"/>
                <w:wAfter w:w="10" w:type="dxa"/>
                <w:trHeight w:val="79"/>
              </w:trPr>
              <w:tc>
                <w:tcPr>
                  <w:tcW w:w="5435" w:type="dxa"/>
                  <w:gridSpan w:val="5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Совокупная значимость всех критериев (в процентах)</w:t>
                  </w:r>
                </w:p>
              </w:tc>
              <w:tc>
                <w:tcPr>
                  <w:tcW w:w="3640" w:type="dxa"/>
                  <w:gridSpan w:val="4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</w:tbl>
          <w:p w:rsidR="00702238" w:rsidRPr="001B796A" w:rsidRDefault="00702238" w:rsidP="009D5D60">
            <w:pPr>
              <w:keepNext/>
              <w:shd w:val="clear" w:color="auto" w:fill="FFFFFF"/>
              <w:suppressAutoHyphens w:val="0"/>
              <w:ind w:firstLine="353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Порядок оценки и сопоставления заявок на участие в Конкурсе:</w:t>
            </w:r>
          </w:p>
          <w:p w:rsidR="00702238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B796A">
              <w:rPr>
                <w:rFonts w:ascii="Times New Roman" w:hAnsi="Times New Roman"/>
                <w:b/>
                <w:sz w:val="22"/>
                <w:szCs w:val="22"/>
              </w:rPr>
              <w:t>1. Цена контракта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Величина значимости критерия – 70 %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Коэффициент значимости критерия оценки – 0,7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Оценка критерия (баллы):100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 Количество баллов, присуждаемых по критерию оценки "цена контракта", определяется по   формуле: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а) в случае если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Start"/>
            <w:r w:rsidRPr="001B796A">
              <w:rPr>
                <w:rFonts w:ascii="Times New Roman" w:hAnsi="Times New Roman"/>
                <w:sz w:val="22"/>
                <w:szCs w:val="22"/>
              </w:rPr>
              <w:t>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  <w:proofErr w:type="gram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0,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100,</w:t>
            </w:r>
          </w:p>
          <w:p w:rsidR="00702238" w:rsidRPr="001B796A" w:rsidRDefault="00702238" w:rsidP="009D5D60">
            <w:pPr>
              <w:pStyle w:val="ConsPlusNormal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–количество баллов по критерию оценки «цена контракта»;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предложение участника закупки, заявка которого оценивается;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б) в случае если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B796A">
              <w:rPr>
                <w:rFonts w:ascii="Times New Roman" w:hAnsi="Times New Roman"/>
                <w:sz w:val="22"/>
                <w:szCs w:val="22"/>
              </w:rPr>
              <w:t>&lt; 0</w:t>
            </w:r>
            <w:proofErr w:type="gramEnd"/>
            <w:r w:rsidRPr="001B796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=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)/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100,</w:t>
            </w:r>
          </w:p>
          <w:p w:rsidR="00702238" w:rsidRPr="001B796A" w:rsidRDefault="00702238" w:rsidP="009D5D60">
            <w:pPr>
              <w:pStyle w:val="ConsPlusNormal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где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–количество баллов по критерию оценки «цена контракта»;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702238" w:rsidRPr="001B796A" w:rsidRDefault="00702238" w:rsidP="009D5D60">
            <w:pPr>
              <w:pStyle w:val="ConsPlusNormal"/>
              <w:keepNext/>
              <w:ind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предложение участника закупки, заявка которого оценивается.</w:t>
            </w: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Для расчета рейтинга, присуждаемого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-й заявке по указанному критерию, умножается на соответствующий указанному критерию коэффициент значимости:</w:t>
            </w: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Ra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0,7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</w:rPr>
            </w:pPr>
            <w:r w:rsidRPr="001B796A">
              <w:rPr>
                <w:rFonts w:ascii="Times New Roman" w:hAnsi="Times New Roman"/>
                <w:lang w:val="en-US"/>
              </w:rPr>
              <w:t>Ra</w:t>
            </w:r>
            <w:r w:rsidRPr="001B796A">
              <w:rPr>
                <w:rFonts w:ascii="Times New Roman" w:hAnsi="Times New Roman"/>
              </w:rPr>
              <w:t xml:space="preserve">-  рейтинг, присуждаемый  </w:t>
            </w:r>
            <w:proofErr w:type="spellStart"/>
            <w:r w:rsidRPr="001B796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1B796A">
              <w:rPr>
                <w:rFonts w:ascii="Times New Roman" w:hAnsi="Times New Roman"/>
              </w:rPr>
              <w:t xml:space="preserve">-й заявке по критерию «Цена контракта»,   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</w:rPr>
            </w:pPr>
            <w:r w:rsidRPr="001B796A">
              <w:rPr>
                <w:rFonts w:ascii="Times New Roman" w:hAnsi="Times New Roman"/>
              </w:rPr>
              <w:t>0,7</w:t>
            </w:r>
            <w:r>
              <w:rPr>
                <w:rFonts w:ascii="Times New Roman" w:hAnsi="Times New Roman"/>
              </w:rPr>
              <w:t>0</w:t>
            </w:r>
            <w:r w:rsidRPr="001B796A">
              <w:rPr>
                <w:rFonts w:ascii="Times New Roman" w:hAnsi="Times New Roman"/>
              </w:rPr>
              <w:t xml:space="preserve"> - коэффициент значимости критерия "цена контракта".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b/>
                <w:szCs w:val="22"/>
                <w:u w:val="single"/>
                <w:lang w:eastAsia="ru-RU"/>
              </w:rPr>
            </w:pP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b/>
                <w:szCs w:val="22"/>
                <w:u w:val="single"/>
                <w:lang w:eastAsia="ru-RU"/>
              </w:rPr>
            </w:pPr>
            <w:r w:rsidRPr="001B796A">
              <w:rPr>
                <w:b/>
                <w:szCs w:val="22"/>
                <w:u w:val="single"/>
                <w:lang w:eastAsia="ru-RU"/>
              </w:rPr>
              <w:t xml:space="preserve">Критерий, характеризующийся как </w:t>
            </w:r>
            <w:proofErr w:type="spellStart"/>
            <w:r w:rsidRPr="001B796A">
              <w:rPr>
                <w:b/>
                <w:szCs w:val="22"/>
                <w:u w:val="single"/>
                <w:lang w:eastAsia="ru-RU"/>
              </w:rPr>
              <w:t>нестоимостной</w:t>
            </w:r>
            <w:proofErr w:type="spellEnd"/>
            <w:r w:rsidRPr="001B796A">
              <w:rPr>
                <w:b/>
                <w:szCs w:val="22"/>
                <w:u w:val="single"/>
                <w:lang w:eastAsia="ru-RU"/>
              </w:rPr>
              <w:t xml:space="preserve"> критерий оценки: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b/>
                <w:szCs w:val="22"/>
                <w:lang w:eastAsia="ru-RU"/>
              </w:rPr>
            </w:pP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Величина значимости критерия – 30 %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Коэффициент значимости критерия оценки – 0,30</w:t>
            </w: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Применяемые показатели данного критерия: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b/>
                <w:spacing w:val="-4"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  <w:r w:rsidRPr="001B796A">
              <w:rPr>
                <w:b/>
                <w:spacing w:val="-4"/>
                <w:szCs w:val="22"/>
                <w:lang w:eastAsia="ru-RU"/>
              </w:rPr>
              <w:t>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Оценка показателя (баллы): 100 баллов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Коэффициент значимости показателя:0,40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По данному показателю оценивается: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</w:t>
            </w:r>
            <w:r>
              <w:rPr>
                <w:spacing w:val="-4"/>
                <w:szCs w:val="22"/>
                <w:lang w:eastAsia="ru-RU"/>
              </w:rPr>
              <w:t xml:space="preserve">в каждом контракте </w:t>
            </w:r>
            <w:r>
              <w:rPr>
                <w:spacing w:val="-4"/>
                <w:szCs w:val="22"/>
                <w:lang w:eastAsia="ru-RU"/>
              </w:rPr>
              <w:lastRenderedPageBreak/>
              <w:t xml:space="preserve">должно быть не менее </w:t>
            </w:r>
            <w:r w:rsidR="000D5948">
              <w:rPr>
                <w:spacing w:val="-4"/>
                <w:szCs w:val="22"/>
                <w:lang w:eastAsia="ru-RU"/>
              </w:rPr>
              <w:t>4</w:t>
            </w:r>
            <w:r>
              <w:rPr>
                <w:spacing w:val="-4"/>
                <w:szCs w:val="22"/>
                <w:lang w:eastAsia="ru-RU"/>
              </w:rPr>
              <w:t>00 штук.</w:t>
            </w:r>
          </w:p>
          <w:p w:rsidR="00702238" w:rsidRPr="001B796A" w:rsidRDefault="00511843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proofErr w:type="spellStart"/>
            <w:r>
              <w:rPr>
                <w:spacing w:val="-4"/>
                <w:szCs w:val="22"/>
                <w:lang w:eastAsia="ru-RU"/>
              </w:rPr>
              <w:t>Потверждается</w:t>
            </w:r>
            <w:proofErr w:type="spellEnd"/>
            <w:r w:rsidR="00702238" w:rsidRPr="001B796A">
              <w:rPr>
                <w:spacing w:val="-4"/>
                <w:szCs w:val="22"/>
                <w:lang w:eastAsia="ru-RU"/>
              </w:rPr>
              <w:t xml:space="preserve"> копиями государственных контрактов, актов приемки товаров к ним.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Количество баллов, присуждаемых по показателю (</w:t>
            </w:r>
            <w:r w:rsidRPr="001B796A">
              <w:rPr>
                <w:spacing w:val="-4"/>
                <w:szCs w:val="22"/>
                <w:lang w:val="en-US" w:eastAsia="ru-RU"/>
              </w:rPr>
              <w:t>b</w:t>
            </w:r>
            <w:r w:rsidRPr="001B796A">
              <w:rPr>
                <w:spacing w:val="-4"/>
                <w:szCs w:val="22"/>
                <w:lang w:eastAsia="ru-RU"/>
              </w:rPr>
              <w:t>1), определяется по формуле: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>1 = КЗ х 100 х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702238" w:rsidRPr="001B796A" w:rsidRDefault="00702238" w:rsidP="009D5D60">
            <w:pPr>
              <w:pStyle w:val="ConsPlusNormal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 КЗ - коэ</w:t>
            </w:r>
            <w:r>
              <w:rPr>
                <w:szCs w:val="22"/>
                <w:lang w:eastAsia="ru-RU"/>
              </w:rPr>
              <w:t>ффициент значимости показателя;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Кi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702238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Кmax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b/>
                <w:spacing w:val="-4"/>
                <w:szCs w:val="22"/>
                <w:lang w:eastAsia="ru-RU"/>
              </w:rPr>
            </w:pPr>
            <w:r w:rsidRPr="001B796A">
              <w:rPr>
                <w:b/>
                <w:spacing w:val="-4"/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Оценка показателя (баллы): 100 баллов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Коэффициент значимости показателя:0,60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По данному показателю оценивается: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</w:t>
            </w:r>
            <w:r w:rsidR="00511843">
              <w:rPr>
                <w:spacing w:val="-4"/>
                <w:szCs w:val="22"/>
                <w:lang w:eastAsia="ru-RU"/>
              </w:rPr>
              <w:t>Подтверждается</w:t>
            </w:r>
            <w:r w:rsidRPr="001B796A">
              <w:rPr>
                <w:spacing w:val="-4"/>
                <w:szCs w:val="22"/>
                <w:lang w:eastAsia="ru-RU"/>
              </w:rPr>
              <w:t xml:space="preserve"> копиями государственных контрактов, актов приемки товаров к ним.</w:t>
            </w:r>
            <w:r>
              <w:rPr>
                <w:spacing w:val="-4"/>
                <w:szCs w:val="22"/>
                <w:lang w:eastAsia="ru-RU"/>
              </w:rPr>
              <w:t xml:space="preserve"> </w:t>
            </w:r>
            <w:r w:rsidRPr="001B796A">
              <w:rPr>
                <w:spacing w:val="-4"/>
                <w:szCs w:val="22"/>
                <w:lang w:eastAsia="ru-RU"/>
              </w:rPr>
              <w:t>При этом, количество поставленных товаров (в штуках) должно быть</w:t>
            </w:r>
            <w:r>
              <w:rPr>
                <w:spacing w:val="-4"/>
                <w:szCs w:val="22"/>
                <w:lang w:eastAsia="ru-RU"/>
              </w:rPr>
              <w:t xml:space="preserve"> в каждом контракте не менее </w:t>
            </w:r>
            <w:r w:rsidR="00336300">
              <w:rPr>
                <w:spacing w:val="-4"/>
                <w:szCs w:val="22"/>
                <w:lang w:eastAsia="ru-RU"/>
              </w:rPr>
              <w:t>4</w:t>
            </w:r>
            <w:r>
              <w:rPr>
                <w:spacing w:val="-4"/>
                <w:szCs w:val="22"/>
                <w:lang w:eastAsia="ru-RU"/>
              </w:rPr>
              <w:t>00 штук.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Данный показатель рассчитывается следующим образом:</w:t>
            </w:r>
          </w:p>
          <w:p w:rsidR="00702238" w:rsidRPr="001B796A" w:rsidRDefault="00702238" w:rsidP="009D5D60">
            <w:pPr>
              <w:keepNext/>
              <w:suppressAutoHyphens w:val="0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Количество баллов, присуждаемых по показателю (</w:t>
            </w:r>
            <w:r w:rsidRPr="001B796A">
              <w:rPr>
                <w:spacing w:val="-4"/>
                <w:szCs w:val="22"/>
                <w:lang w:val="en-US" w:eastAsia="ru-RU"/>
              </w:rPr>
              <w:t>b</w:t>
            </w:r>
            <w:r w:rsidRPr="001B796A">
              <w:rPr>
                <w:spacing w:val="-4"/>
                <w:szCs w:val="22"/>
                <w:lang w:eastAsia="ru-RU"/>
              </w:rPr>
              <w:t>2), определяется по формуле: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>2 = КЗ х 100 х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702238" w:rsidRPr="001B796A" w:rsidRDefault="00702238" w:rsidP="009D5D60">
            <w:pPr>
              <w:pStyle w:val="ConsPlusNormal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 КЗ - коэффициент значимости показателя;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Кi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К </w:t>
            </w:r>
            <w:proofErr w:type="spellStart"/>
            <w:r w:rsidRPr="001B796A">
              <w:rPr>
                <w:szCs w:val="22"/>
                <w:lang w:eastAsia="ru-RU"/>
              </w:rPr>
              <w:t>max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 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>=КЗ х(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 xml:space="preserve">1 + 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>2)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 xml:space="preserve">1, 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 рейтинг (количество баллов)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702238" w:rsidRDefault="00702238" w:rsidP="009D5D60">
            <w:pPr>
              <w:keepNext/>
              <w:suppressAutoHyphens w:val="0"/>
              <w:jc w:val="both"/>
            </w:pPr>
            <w:r w:rsidRPr="00391B0B">
              <w:t>Под «Поставкой товара сопоставимого характера и объема» понимается поставка товаров, аналогичная предмету</w:t>
            </w:r>
            <w:r>
              <w:t xml:space="preserve"> и объему</w:t>
            </w:r>
            <w:r w:rsidRPr="00391B0B">
              <w:t xml:space="preserve"> настоящей закупки</w:t>
            </w:r>
            <w:r>
              <w:t>.</w:t>
            </w:r>
          </w:p>
          <w:p w:rsidR="00702238" w:rsidRDefault="00702238" w:rsidP="009D5D60">
            <w:pPr>
              <w:jc w:val="both"/>
            </w:pPr>
            <w:r w:rsidRPr="00391B0B">
              <w:t>Под «Успешным опытом поставки товаров» по</w:t>
            </w:r>
            <w:r>
              <w:t xml:space="preserve">нимается отсутствие внесенных в ЕИС </w:t>
            </w:r>
            <w:r w:rsidRPr="00391B0B">
              <w:t xml:space="preserve">по государственным (или) муниципальным контрактам, на основании которых </w:t>
            </w:r>
            <w:r>
              <w:lastRenderedPageBreak/>
              <w:t>производилась поставка товара</w:t>
            </w:r>
            <w:r w:rsidRPr="00391B0B">
              <w:t>, сведений о применении к участнику закупки, являющемуся поставщиком, штрафных санкций за неисполнение или ненадлежащее исполнение своих обязательс</w:t>
            </w:r>
            <w:r>
              <w:t>тв по таким контрактам</w:t>
            </w:r>
            <w:r w:rsidRPr="00391B0B">
              <w:t xml:space="preserve">. </w:t>
            </w:r>
          </w:p>
          <w:p w:rsidR="00702238" w:rsidRPr="001B796A" w:rsidRDefault="00702238" w:rsidP="009D5D60">
            <w:pPr>
              <w:keepNext/>
              <w:suppressAutoHyphens w:val="0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Расчет итогового рейтинга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</w:t>
            </w:r>
            <w:r w:rsidRPr="001B796A">
              <w:rPr>
                <w:szCs w:val="22"/>
                <w:vertAlign w:val="subscript"/>
                <w:lang w:eastAsia="ru-RU"/>
              </w:rPr>
              <w:t>итог</w:t>
            </w:r>
            <w:r w:rsidRPr="001B796A">
              <w:rPr>
                <w:szCs w:val="22"/>
                <w:lang w:eastAsia="ru-RU"/>
              </w:rPr>
              <w:t xml:space="preserve"> = </w:t>
            </w:r>
            <w:r w:rsidRPr="001B796A">
              <w:rPr>
                <w:szCs w:val="22"/>
                <w:lang w:val="en-US" w:eastAsia="ru-RU"/>
              </w:rPr>
              <w:t>Ra</w:t>
            </w:r>
            <w:r w:rsidRPr="001B796A">
              <w:rPr>
                <w:szCs w:val="22"/>
                <w:lang w:eastAsia="ru-RU"/>
              </w:rPr>
              <w:t xml:space="preserve">+ </w:t>
            </w: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>
              <w:rPr>
                <w:szCs w:val="22"/>
                <w:lang w:eastAsia="ru-RU"/>
              </w:rPr>
              <w:t>, г</w:t>
            </w:r>
            <w:r w:rsidRPr="001B796A">
              <w:rPr>
                <w:szCs w:val="22"/>
                <w:lang w:eastAsia="ru-RU"/>
              </w:rPr>
              <w:t>де: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</w:t>
            </w:r>
            <w:r w:rsidRPr="001B796A">
              <w:rPr>
                <w:szCs w:val="22"/>
                <w:vertAlign w:val="subscript"/>
                <w:lang w:eastAsia="ru-RU"/>
              </w:rPr>
              <w:t>итог</w:t>
            </w:r>
            <w:r w:rsidRPr="001B796A">
              <w:rPr>
                <w:szCs w:val="22"/>
                <w:lang w:eastAsia="ru-RU"/>
              </w:rPr>
              <w:t>-</w:t>
            </w:r>
            <w:r w:rsidRPr="001B796A">
              <w:rPr>
                <w:szCs w:val="22"/>
                <w:vertAlign w:val="subscript"/>
                <w:lang w:eastAsia="ru-RU"/>
              </w:rPr>
              <w:t xml:space="preserve"> </w:t>
            </w:r>
            <w:r w:rsidRPr="001B796A">
              <w:rPr>
                <w:szCs w:val="22"/>
                <w:lang w:eastAsia="ru-RU"/>
              </w:rPr>
              <w:t xml:space="preserve">итоговый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  <w:r w:rsidRPr="001B796A">
              <w:rPr>
                <w:szCs w:val="22"/>
                <w:lang w:eastAsia="ru-RU"/>
              </w:rPr>
              <w:t xml:space="preserve"> –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 по критерию «цена контракта»;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 -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</w:p>
          <w:p w:rsidR="00702238" w:rsidRPr="001B796A" w:rsidRDefault="00702238" w:rsidP="009D5D60">
            <w:pPr>
              <w:keepNext/>
              <w:suppressAutoHyphens w:val="0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Порядок оценки заявок по критериям оценки заявок</w:t>
            </w:r>
          </w:p>
          <w:p w:rsidR="00702238" w:rsidRPr="00A4151E" w:rsidRDefault="00702238" w:rsidP="009D5D60">
            <w:pPr>
              <w:keepNext/>
              <w:suppressAutoHyphens w:val="0"/>
              <w:jc w:val="both"/>
              <w:rPr>
                <w:lang w:eastAsia="ru-RU"/>
              </w:rPr>
            </w:pPr>
            <w:r w:rsidRPr="00A4151E">
              <w:rPr>
                <w:lang w:eastAsia="ru-RU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702238" w:rsidRPr="00A4151E" w:rsidRDefault="00702238" w:rsidP="009D5D60">
            <w:pPr>
              <w:keepNext/>
              <w:suppressAutoHyphens w:val="0"/>
              <w:jc w:val="both"/>
              <w:rPr>
                <w:lang w:eastAsia="ru-RU"/>
              </w:rPr>
            </w:pPr>
            <w:r w:rsidRPr="00A4151E">
              <w:rPr>
                <w:lang w:eastAsia="ru-RU"/>
              </w:rPr>
              <w:t>Для оценки заявок по каждому критерию оценки используется 100 – балльная шкала оценки.</w:t>
            </w:r>
          </w:p>
          <w:p w:rsidR="00702238" w:rsidRPr="00A4151E" w:rsidRDefault="00702238" w:rsidP="009D5D60">
            <w:pPr>
              <w:keepNext/>
              <w:suppressAutoHyphens w:val="0"/>
              <w:jc w:val="both"/>
              <w:rPr>
                <w:lang w:eastAsia="ru-RU"/>
              </w:rPr>
            </w:pPr>
            <w:r w:rsidRPr="00A4151E">
              <w:rPr>
                <w:lang w:eastAsia="ru-RU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702238" w:rsidRPr="00A4151E" w:rsidRDefault="00702238" w:rsidP="009D5D60">
            <w:pPr>
              <w:jc w:val="both"/>
              <w:rPr>
                <w:rFonts w:cs="Times New Roman"/>
              </w:rPr>
            </w:pPr>
            <w:r w:rsidRPr="00A4151E">
              <w:t xml:space="preserve">На основании результатов оценки и сопоставления Заявок комиссией каждой Заявке относительно других, по мере уменьшения степени выгодности содержащихся в них условий исполнения контракта, присваивается порядковый номер. Заявке, в которой содержатся лучшие условия исполнения контракта, присваивается первый номер. В </w:t>
            </w:r>
            <w:r w:rsidRPr="00A4151E">
              <w:rPr>
                <w:rFonts w:cs="Times New Roman"/>
              </w:rPr>
              <w:t>случае если в нескольких Заявках содержатся одинаковые условия исполнения контракта, меньший порядковый номер присваивается Заявке, которая поступила ранее других Заявок, содержащих такие условия.</w:t>
            </w:r>
          </w:p>
          <w:p w:rsidR="00A4151E" w:rsidRPr="00A4151E" w:rsidRDefault="00A4151E" w:rsidP="00A4151E">
            <w:pPr>
              <w:keepNext/>
              <w:keepLines/>
              <w:jc w:val="both"/>
              <w:rPr>
                <w:rFonts w:cs="Times New Roman"/>
              </w:rPr>
            </w:pPr>
            <w:r w:rsidRPr="00A4151E">
              <w:rPr>
                <w:rFonts w:cs="Times New Roman"/>
              </w:rPr>
              <w:t xml:space="preserve">Непредставление в составе заявки на участие в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конкурсе. </w:t>
            </w:r>
          </w:p>
          <w:p w:rsidR="00702238" w:rsidRPr="00251DCF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A4151E">
              <w:rPr>
                <w:rFonts w:cs="Times New Roman"/>
                <w:lang w:eastAsia="ru-RU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8A6270" w:rsidRDefault="008A6270">
      <w:bookmarkStart w:id="0" w:name="_GoBack"/>
      <w:bookmarkEnd w:id="0"/>
    </w:p>
    <w:sectPr w:rsidR="008A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1"/>
    <w:rsid w:val="000D5948"/>
    <w:rsid w:val="00336300"/>
    <w:rsid w:val="00511843"/>
    <w:rsid w:val="00550F47"/>
    <w:rsid w:val="00702238"/>
    <w:rsid w:val="00767A51"/>
    <w:rsid w:val="008A6270"/>
    <w:rsid w:val="00A4151E"/>
    <w:rsid w:val="00E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A4B7-C343-438F-B800-64451597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02238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022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22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2238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2238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702238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02238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702238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702238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702238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7022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702238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customStyle="1" w:styleId="wP35">
    <w:name w:val="wP35"/>
    <w:basedOn w:val="a"/>
    <w:rsid w:val="00702238"/>
    <w:pPr>
      <w:ind w:left="1800" w:firstLine="1800"/>
      <w:jc w:val="center"/>
    </w:pPr>
    <w:rPr>
      <w:rFonts w:eastAsia="Times New Roman" w:cs="Times New Roman"/>
      <w:color w:val="auto"/>
      <w:kern w:val="1"/>
      <w:sz w:val="28"/>
      <w:lang w:eastAsia="ar-SA" w:bidi="ar-SA"/>
    </w:rPr>
  </w:style>
  <w:style w:type="paragraph" w:customStyle="1" w:styleId="wP38">
    <w:name w:val="wP38"/>
    <w:basedOn w:val="a"/>
    <w:rsid w:val="00702238"/>
    <w:rPr>
      <w:rFonts w:eastAsia="Times New Roman" w:cs="Times New Roman"/>
      <w:color w:val="auto"/>
      <w:kern w:val="1"/>
      <w:lang w:eastAsia="ar-SA" w:bidi="ar-SA"/>
    </w:rPr>
  </w:style>
  <w:style w:type="paragraph" w:styleId="a0">
    <w:name w:val="Title"/>
    <w:basedOn w:val="a"/>
    <w:next w:val="a"/>
    <w:link w:val="a5"/>
    <w:uiPriority w:val="10"/>
    <w:qFormat/>
    <w:rsid w:val="0070223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2"/>
    <w:link w:val="a0"/>
    <w:uiPriority w:val="10"/>
    <w:rsid w:val="00702238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6"/>
    <w:uiPriority w:val="99"/>
    <w:semiHidden/>
    <w:unhideWhenUsed/>
    <w:rsid w:val="00702238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7022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ConsPlusNormal">
    <w:name w:val="ConsPlusNormal"/>
    <w:next w:val="a"/>
    <w:link w:val="ConsPlusNormal0"/>
    <w:uiPriority w:val="99"/>
    <w:rsid w:val="007022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02238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Дмитриевна</dc:creator>
  <cp:keywords/>
  <dc:description/>
  <cp:lastModifiedBy>Казанкова Наталья Игоревна</cp:lastModifiedBy>
  <cp:revision>4</cp:revision>
  <dcterms:created xsi:type="dcterms:W3CDTF">2019-03-06T12:00:00Z</dcterms:created>
  <dcterms:modified xsi:type="dcterms:W3CDTF">2019-03-07T09:46:00Z</dcterms:modified>
</cp:coreProperties>
</file>