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 заявок на участие в Конкурсе </w:t>
      </w:r>
    </w:p>
    <w:p w:rsidR="00891374" w:rsidRPr="00891374" w:rsidRDefault="00B9498A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91374"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заявок на участие в конкурсе, их содержание, значимость и порядок оценки: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Цена контракта.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Значимость данного критерия составляет 60 процентов.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Значимость критерия оценки Заявок по цене составляет 60 процентов (коэффициент значимости – 0,6).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по данному критерию предоставляются </w:t>
      </w:r>
      <w:r w:rsidR="00B949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Таблицы цен по Форме №10.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присуждаемых по критерию оценки "цена контракта" (ЦБ</w:t>
      </w:r>
      <w:proofErr w:type="gramStart"/>
      <w:r w:rsidRPr="0089137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proofErr w:type="gramEnd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определяется по формуле: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61"/>
      <w:bookmarkEnd w:id="0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случае если </w:t>
      </w:r>
      <w:proofErr w:type="gramStart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89137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min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&gt;0,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предложение участника закупки, заявка (предложение) которого оценивается;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случае если </w:t>
      </w:r>
      <w:proofErr w:type="gramStart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89137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min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&lt;0,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- максимальное предложение из предложений по критерию, сделанных участниками закупки.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Нестоимостные</w:t>
      </w:r>
      <w:proofErr w:type="spellEnd"/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оценки: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Качественные, функциональные и экологические характеристики объекта закупки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данного критерия составляет 30 процентов (коэффициент значимости – 0,3).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медицинских услуг сверх Стандартов санаторно-курортной помощи, утвержденных </w:t>
      </w:r>
      <w:proofErr w:type="spell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30 (коэффициент значимости 0,3).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данному критерию предоставляются в Форме № 4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возможность предоставления медицинских услуг сверх Стандартов санаторно-курортной помощи, утвержденных </w:t>
      </w:r>
      <w:proofErr w:type="spell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лечения. Оценке подлежат количество медицинских услуг сверх Стандартов,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Форме № 4 и не вклю</w:t>
      </w:r>
      <w:r w:rsidR="00B9498A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чённые в оценку в Форме №8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условием исполнения контракта является наибольшее значение критерия оценки по показателю «Возможность предоставления медицинских услуг сверх Стандартов санаторно-курортной помощи, утвержденных </w:t>
      </w:r>
      <w:proofErr w:type="spell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лечения».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 (НЦБ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К3 *100*(К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 (количество медицинских услуг);</w:t>
      </w:r>
    </w:p>
    <w:p w:rsidR="00891374" w:rsidRPr="00891374" w:rsidRDefault="00891374" w:rsidP="00891374">
      <w:pPr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максимальное предложение из предложений по критерию оценки, сделанных участниками закупки (количество медицинских услуг).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2.1.2.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 при оказании услуг по санаторно-курортному лечению.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30 (коэффициент значимости 0,3).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выставляемых по данному подкритерию – 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по данному подкритерию предоставляется по Форме № 7 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пункт Формы № 7 оценивается в 3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балла.</w:t>
      </w:r>
    </w:p>
    <w:p w:rsidR="00891374" w:rsidRPr="00891374" w:rsidRDefault="00891374" w:rsidP="00891374">
      <w:pPr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2.1.3.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природных и лечебных факторов, используемых для целей санаторно-курортного лечения.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40 (коэффициент значимости 0,4). 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благоприятных природных лечебных факторов, используемых для целей санаторно-курортного лечения.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выставляемых по данному подкритерию – 40 баллов. Присвоение баллов производится, исходя из следующего: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более 5-х природных лечебных факторов – 40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3-4-х природных лечебных факторов –20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1-2-х природных лечебных факторов –10 баллов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природных лечебных факторов –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данному подкритерию предоставляется по Форме № 8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62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данного критерия составляет 10 процентов (коэффициент значимости – 0,1).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2.2.1.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50 (коэффициент значимости 0,5).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данному критерию предоставляются в Форме № </w:t>
      </w:r>
      <w:r w:rsidR="00B949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заболеваний, указывается в годах.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Лучшим условием исполнения контракта является наибольшее значение критерия оценки по показателю «Опыт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заболеваний». Количество баллов (НЦБ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К3 *100*(К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используется один показатель,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1;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 (опыт работы, указанный в годах);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 (опыт работы, указанный в годах).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2.2.2.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штате организации, врачей - 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50 (коэффициент значимости 0,5).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выставляемых по данному подкритерию – 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баллов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Присвоение баллов производится, исходя из следующего: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100% укомплектованности - 50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80-99% -30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60-79% - 10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менее 60% - 0 баллов.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по данному подкритерию предоставляется в виде таблицы (Форма № 6)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оценки заявок на участие в конкурсе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1.Оценка и сопоставление Заявок будет осуществляться единой комиссией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2.Единая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3.Оценка и сопоставление Заявок будет осуществляться в соответствии с правилами оценки заявок на участие в конкурсе на право заключить 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государственный или муниципальный контракт на поставки товаров, выполнение работ, оказание услуг для государственных или муниципальных нужд, утвержденных постановлением Правительства Российской Федерации от </w:t>
      </w:r>
      <w:r w:rsidRPr="00891374"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10 сентября 2009 № 722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Совокупная значимость критериев оценки Заявок составляет сто процентов.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4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возможности выполнения всего перечня медицинских услуг </w:t>
      </w:r>
    </w:p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контракта_____________________________________________</w:t>
      </w:r>
    </w:p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2850"/>
        <w:gridCol w:w="2755"/>
        <w:gridCol w:w="3426"/>
      </w:tblGrid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 санаторно-курортной помощи</w:t>
            </w: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услуги, предусмотренные стандартом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оказания каждой из указанных с графе 3 услуги (Да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по заполнению.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Данная таблица заполняется в соответствии со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891374" w:rsidRPr="00891374" w:rsidRDefault="00891374" w:rsidP="0089137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оказания медицинских услуг сверх Стандарта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8731"/>
      </w:tblGrid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_______________________________________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отчество, должность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5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лечебно-диагностической базе 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9004"/>
      </w:tblGrid>
      <w:tr w:rsidR="00891374" w:rsidRPr="00891374" w:rsidTr="00891374">
        <w:trPr>
          <w:cantSplit/>
          <w:trHeight w:val="148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описание лечебно-диагностической базы санаторно-курортного учреждения (в свободной форме представить информацию о наличии природных лечебных факторов, наличие бассейна, медицинском профиле учреждения, его лечебных отделениях и кабинетах, лабораторных методах исследования, методах функциональной диагностики, не медикаментозных методах лечения и </w:t>
            </w:r>
            <w:proofErr w:type="spell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4"/>
        <w:gridCol w:w="1711"/>
      </w:tblGrid>
      <w:tr w:rsidR="00891374" w:rsidRPr="00891374" w:rsidTr="00891374">
        <w:trPr>
          <w:tblCellSpacing w:w="0" w:type="dxa"/>
        </w:trPr>
        <w:tc>
          <w:tcPr>
            <w:tcW w:w="4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лет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4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организации опыта работы по медицинской реабилитации застрахованных лиц, пострадавших вследствие несчастных случаев на производстве и профессиональных заболеваний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отчество,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№6</w:t>
      </w:r>
    </w:p>
    <w:p w:rsidR="00891374" w:rsidRPr="00891374" w:rsidRDefault="00891374" w:rsidP="00891374">
      <w:pPr>
        <w:keepNext/>
        <w:shd w:val="clear" w:color="auto" w:fill="FFFFFF"/>
        <w:spacing w:before="5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numPr>
          <w:ilvl w:val="2"/>
          <w:numId w:val="1"/>
        </w:numPr>
        <w:shd w:val="clear" w:color="auto" w:fill="FFFFFF"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наличии врачей-специалистов </w:t>
      </w:r>
    </w:p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</w:t>
      </w:r>
    </w:p>
    <w:tbl>
      <w:tblPr>
        <w:tblpPr w:leftFromText="180" w:rightFromText="180" w:vertAnchor="text" w:horzAnchor="margin" w:tblpXSpec="center" w:tblpY="385"/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9"/>
        <w:gridCol w:w="1373"/>
        <w:gridCol w:w="2177"/>
        <w:gridCol w:w="1574"/>
        <w:gridCol w:w="3467"/>
      </w:tblGrid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сертификата, документа о специализации и квалификационной категории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положительного ответа в графе 5, участник должен предоставить копии данных документов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 врачей-специалистов соответствующих документов баллы по данному критерию не проставляются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7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наличии социально-бытовых условий </w:t>
      </w:r>
    </w:p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контракта___________________________________________</w:t>
      </w:r>
    </w:p>
    <w:tbl>
      <w:tblPr>
        <w:tblpPr w:leftFromText="180" w:rightFromText="180" w:vertAnchor="text" w:horzAnchor="margin" w:tblpXSpec="center" w:tblpY="340"/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6985"/>
        <w:gridCol w:w="2515"/>
      </w:tblGrid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– бытовые условия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каждого из указанных в графе 2 условий (да/нет)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санаторно-курортного учреждения требованиям СНиП серия 35 .</w:t>
            </w:r>
          </w:p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среда, наличие пандусов, расширенные дверные проемы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обеспечивающие доступ больных на колясках во все функциональные подразделения учреждения 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Расположение жилого, лечебного, диагностического корпусов и столовой в одном здании или в зданиях соединенных теплыми переходами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rHeight w:val="495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лифтов с круглосуточным подъемом и спуском в зданиях более трех этажей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пользоваться бассейном (ЛФК в бассейне)</w:t>
            </w:r>
          </w:p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в одн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двух)местных номерах (за исключением номеров повышенной комфортности) при этом площадь одного койко-места не менее 6 м2 (ГОСТ П 51185-98 СТП 3310)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досуга, разнообразие мероприятий в соответствии с возрастной категорией и состоянием здоровья граждан (указать в приложении культурно – массовые мероприятия)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системы для обеспечения пациентов питьевой водой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rHeight w:val="165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спортивной площадки (комнаты) оснащенной </w:t>
            </w: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спортивным оборудованием.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rHeight w:val="480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купить (при необходимости) продукты питания/кондитерскую продукцию, лекарственные средства первой необходимости (аптечный киоск), сувенирную продукцию территории здравницы 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номере холодильника, телевизора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Соблюдение условий по каждому пункту оценивается в 3,0 балла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– </w:t>
      </w: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баллов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_______________________________________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8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наличии благоприятных природных лечебных факторов для санаторно-курортного лечения и оздоровления 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8"/>
        <w:gridCol w:w="5853"/>
        <w:gridCol w:w="2974"/>
      </w:tblGrid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Факторы для санаторно-курортного лечения и оздоровления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(да/нет)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ind w:left="1157" w:hanging="1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Расположение здравницы в лесопарковой зоне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Собственная скважина с питьевой или минеральной водой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 территории здравницы водоема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Лечебные грязи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природные лечебные факторы (указать)*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C74" w:rsidRDefault="00891374" w:rsidP="00891374">
      <w:pPr>
        <w:spacing w:before="100" w:beforeAutospacing="1" w:after="0" w:line="240" w:lineRule="auto"/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указании в графе 5 положительного ответа, необходимо в приложении отразить другие природные лечебные факторы.</w:t>
      </w:r>
    </w:p>
    <w:sectPr w:rsidR="00A7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305"/>
    <w:multiLevelType w:val="multilevel"/>
    <w:tmpl w:val="7D7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8"/>
    <w:rsid w:val="00891374"/>
    <w:rsid w:val="00A75C74"/>
    <w:rsid w:val="00B83028"/>
    <w:rsid w:val="00B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Борисовна</dc:creator>
  <cp:lastModifiedBy>Уварова Юлия Борисовна</cp:lastModifiedBy>
  <cp:revision>2</cp:revision>
  <dcterms:created xsi:type="dcterms:W3CDTF">2019-04-01T13:47:00Z</dcterms:created>
  <dcterms:modified xsi:type="dcterms:W3CDTF">2019-04-01T13:47:00Z</dcterms:modified>
</cp:coreProperties>
</file>