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CC" w:rsidRPr="00A11B21" w:rsidRDefault="008377CC" w:rsidP="008377CC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8377CC" w:rsidRPr="00A11B21" w:rsidRDefault="008377CC" w:rsidP="008377CC">
      <w:pPr>
        <w:ind w:right="-12" w:firstLine="601"/>
        <w:rPr>
          <w:sz w:val="22"/>
          <w:szCs w:val="22"/>
        </w:rPr>
      </w:pP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б) характеризующиеся как не</w:t>
      </w:r>
      <w:r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>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8377CC" w:rsidRPr="00A11B21" w:rsidRDefault="008377CC" w:rsidP="008377CC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C00B80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8377CC" w:rsidRPr="00B05F65" w:rsidRDefault="008377CC" w:rsidP="008377CC">
      <w:pPr>
        <w:ind w:firstLine="709"/>
        <w:rPr>
          <w:sz w:val="22"/>
          <w:szCs w:val="22"/>
        </w:rPr>
      </w:pPr>
    </w:p>
    <w:p w:rsidR="008377CC" w:rsidRPr="00B05F65" w:rsidRDefault="008377CC" w:rsidP="008377CC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8377CC" w:rsidRPr="00B05F65" w:rsidRDefault="008377CC" w:rsidP="008377CC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8377CC" w:rsidRPr="00B05F65" w:rsidTr="005566C2">
        <w:trPr>
          <w:trHeight w:val="1134"/>
        </w:trPr>
        <w:tc>
          <w:tcPr>
            <w:tcW w:w="534" w:type="dxa"/>
            <w:vAlign w:val="center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8377CC" w:rsidRPr="00B05F65" w:rsidTr="005566C2">
        <w:tc>
          <w:tcPr>
            <w:tcW w:w="9922" w:type="dxa"/>
            <w:gridSpan w:val="7"/>
            <w:vAlign w:val="center"/>
          </w:tcPr>
          <w:p w:rsidR="008377CC" w:rsidRPr="00B05F65" w:rsidRDefault="008377CC" w:rsidP="005566C2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8377CC" w:rsidRPr="00B05F65" w:rsidTr="005566C2">
        <w:tc>
          <w:tcPr>
            <w:tcW w:w="534" w:type="dxa"/>
          </w:tcPr>
          <w:p w:rsidR="008377CC" w:rsidRPr="00B05F65" w:rsidRDefault="008377CC" w:rsidP="008377CC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8377CC" w:rsidRPr="00B05F65" w:rsidRDefault="008377CC" w:rsidP="005566C2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8377CC" w:rsidRPr="00B05F65" w:rsidTr="005566C2">
        <w:tc>
          <w:tcPr>
            <w:tcW w:w="9922" w:type="dxa"/>
            <w:gridSpan w:val="7"/>
          </w:tcPr>
          <w:p w:rsidR="008377CC" w:rsidRPr="00B05F65" w:rsidRDefault="008377CC" w:rsidP="005566C2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A1E4119" wp14:editId="45B41301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9ECAD" wp14:editId="37095E1F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8377CC" w:rsidRPr="00B05F65" w:rsidRDefault="008377CC" w:rsidP="005566C2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CDE3E6B" wp14:editId="050D662B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1DD056" wp14:editId="45CE4A9C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EECF9" wp14:editId="76E5CE51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5D5DA34" wp14:editId="7820B0AA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B05F65" w:rsidRDefault="008377CC" w:rsidP="005566C2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0B455E40" wp14:editId="7F3D7AEA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44A5AE3" wp14:editId="238D76AE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1A4F983" wp14:editId="5104D7C7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8377CC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8377CC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0057CE" w:rsidRDefault="008377CC" w:rsidP="005566C2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8377CC" w:rsidRPr="00B05F65" w:rsidTr="005566C2">
        <w:tc>
          <w:tcPr>
            <w:tcW w:w="9922" w:type="dxa"/>
            <w:gridSpan w:val="7"/>
          </w:tcPr>
          <w:p w:rsidR="008377CC" w:rsidRPr="00B05F65" w:rsidRDefault="008377CC" w:rsidP="005566C2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8377CC" w:rsidRPr="00B05F65" w:rsidTr="005566C2">
        <w:tc>
          <w:tcPr>
            <w:tcW w:w="534" w:type="dxa"/>
          </w:tcPr>
          <w:p w:rsidR="008377CC" w:rsidRPr="00B05F65" w:rsidRDefault="008377CC" w:rsidP="005566C2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8377CC" w:rsidRPr="00B05F65" w:rsidRDefault="008377CC" w:rsidP="005566C2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8377CC" w:rsidRPr="00B05F65" w:rsidTr="005566C2">
        <w:trPr>
          <w:trHeight w:val="273"/>
        </w:trPr>
        <w:tc>
          <w:tcPr>
            <w:tcW w:w="9922" w:type="dxa"/>
            <w:gridSpan w:val="7"/>
          </w:tcPr>
          <w:p w:rsidR="008377CC" w:rsidRPr="00B05F65" w:rsidRDefault="008377CC" w:rsidP="005566C2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377CC" w:rsidRPr="00B05F65" w:rsidRDefault="008377CC" w:rsidP="005566C2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5566C2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5566C2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5566C2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8377CC" w:rsidRPr="00B05F65" w:rsidRDefault="008377CC" w:rsidP="005566C2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8377CC" w:rsidRPr="00B05F65" w:rsidRDefault="008377CC" w:rsidP="005566C2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8377CC" w:rsidRPr="00B05F65" w:rsidRDefault="008377CC" w:rsidP="005566C2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8377CC" w:rsidRPr="00B05F65" w:rsidTr="005566C2">
              <w:trPr>
                <w:trHeight w:val="308"/>
              </w:trPr>
              <w:tc>
                <w:tcPr>
                  <w:tcW w:w="6124" w:type="dxa"/>
                </w:tcPr>
                <w:p w:rsidR="008377CC" w:rsidRPr="00B05F65" w:rsidRDefault="008377CC" w:rsidP="005566C2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5566C2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8377CC" w:rsidRPr="00B05F65" w:rsidRDefault="008377CC" w:rsidP="005566C2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5566C2">
              <w:trPr>
                <w:trHeight w:val="308"/>
              </w:trPr>
              <w:tc>
                <w:tcPr>
                  <w:tcW w:w="6124" w:type="dxa"/>
                </w:tcPr>
                <w:p w:rsidR="008377CC" w:rsidRPr="0052588B" w:rsidRDefault="008377CC" w:rsidP="005566C2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EB527E" w:rsidRPr="00EB527E" w:rsidRDefault="00EB527E" w:rsidP="00EB527E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52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«Наличие благоприятных природных и лечебных факторов, используемых для целей санаторно-курортного лечения».</w:t>
                  </w:r>
                </w:p>
                <w:p w:rsidR="00EB527E" w:rsidRPr="00EB527E" w:rsidRDefault="00EB527E" w:rsidP="00EB527E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B527E" w:rsidRPr="00EB527E" w:rsidRDefault="00EB527E" w:rsidP="00EB527E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52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Оценивается предложение участника конкурса о наличии 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EB527E" w:rsidRPr="00EB527E" w:rsidRDefault="00EB527E" w:rsidP="00EB527E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B527E" w:rsidRPr="00EB527E" w:rsidRDefault="00EB527E" w:rsidP="00EB527E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52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EB527E" w:rsidRPr="00EB527E" w:rsidRDefault="00EB527E" w:rsidP="00EB527E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52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Отсутствие 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 – 0 баллов;</w:t>
                  </w:r>
                </w:p>
                <w:p w:rsidR="00EB527E" w:rsidRDefault="00EB527E" w:rsidP="00EB527E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B527E">
                    <w:rPr>
                      <w:sz w:val="22"/>
                      <w:szCs w:val="22"/>
                    </w:rPr>
                    <w:t>Наличие природные источники грязи (в том числе привозная), природные источники минеральной воды (в том числе привозная), лесопарковая (природная) зона (терренкур) – 100 баллов.</w:t>
                  </w:r>
                </w:p>
                <w:p w:rsidR="008377CC" w:rsidRPr="0052588B" w:rsidRDefault="008377CC" w:rsidP="00EB527E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bookmarkStart w:id="1" w:name="_GoBack"/>
                  <w:bookmarkEnd w:id="1"/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8377CC" w:rsidRPr="00B05F65" w:rsidRDefault="008377CC" w:rsidP="005566C2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5566C2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8377CC" w:rsidRPr="00B05F65" w:rsidRDefault="008377CC" w:rsidP="005566C2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8377CC" w:rsidRPr="00B05F65" w:rsidTr="005566C2">
        <w:tc>
          <w:tcPr>
            <w:tcW w:w="534" w:type="dxa"/>
          </w:tcPr>
          <w:p w:rsidR="008377CC" w:rsidRPr="00B05F65" w:rsidRDefault="008377CC" w:rsidP="005566C2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03" w:type="dxa"/>
            <w:gridSpan w:val="2"/>
          </w:tcPr>
          <w:p w:rsidR="008377CC" w:rsidRPr="00B05F65" w:rsidRDefault="008377CC" w:rsidP="005566C2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 xml:space="preserve">Квалификация участника закупки, в том числе наличие у него опыта работы, связанного с предметом </w:t>
            </w:r>
            <w:r w:rsidRPr="00285863">
              <w:rPr>
                <w:b/>
                <w:sz w:val="22"/>
                <w:szCs w:val="22"/>
              </w:rPr>
              <w:lastRenderedPageBreak/>
              <w:t>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984" w:type="dxa"/>
          </w:tcPr>
          <w:p w:rsidR="008377CC" w:rsidRPr="00B05F65" w:rsidRDefault="008377CC" w:rsidP="005566C2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8377CC" w:rsidRPr="00B05F65" w:rsidTr="005566C2">
        <w:tc>
          <w:tcPr>
            <w:tcW w:w="9922" w:type="dxa"/>
            <w:gridSpan w:val="7"/>
          </w:tcPr>
          <w:p w:rsidR="008377CC" w:rsidRPr="00B05F65" w:rsidRDefault="008377CC" w:rsidP="005566C2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lastRenderedPageBreak/>
              <w:t xml:space="preserve">Оценка заявок происходит по формуле: </w:t>
            </w:r>
          </w:p>
          <w:p w:rsidR="008377CC" w:rsidRPr="00B05F65" w:rsidRDefault="008377CC" w:rsidP="005566C2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5566C2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5566C2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5566C2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5566C2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8377CC" w:rsidRPr="00B05F65" w:rsidTr="005566C2">
              <w:trPr>
                <w:trHeight w:val="308"/>
              </w:trPr>
              <w:tc>
                <w:tcPr>
                  <w:tcW w:w="6408" w:type="dxa"/>
                </w:tcPr>
                <w:p w:rsidR="008377CC" w:rsidRPr="00B05F65" w:rsidRDefault="008377CC" w:rsidP="005566C2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5566C2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8377CC" w:rsidRPr="00B05F65" w:rsidRDefault="008377CC" w:rsidP="005566C2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5566C2">
              <w:trPr>
                <w:trHeight w:val="840"/>
              </w:trPr>
              <w:tc>
                <w:tcPr>
                  <w:tcW w:w="6408" w:type="dxa"/>
                </w:tcPr>
                <w:p w:rsidR="008377CC" w:rsidRPr="006D53ED" w:rsidRDefault="008377CC" w:rsidP="005566C2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8377CC" w:rsidRPr="001A2690" w:rsidRDefault="008377CC" w:rsidP="005566C2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 w:rsidR="005566C2">
                    <w:rPr>
                      <w:color w:val="0D0D0D"/>
                      <w:sz w:val="22"/>
                      <w:szCs w:val="22"/>
                    </w:rPr>
                    <w:t xml:space="preserve"> собственных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BA39E7">
                    <w:rPr>
                      <w:i/>
                    </w:rPr>
                    <w:t xml:space="preserve">врачей </w:t>
                  </w:r>
                  <w:r w:rsidR="00C00B80">
                    <w:rPr>
                      <w:i/>
                    </w:rPr>
                    <w:t>неврологов</w:t>
                  </w:r>
                  <w:r w:rsidRPr="00BA39E7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врачей травматологов</w:t>
                  </w:r>
                  <w:r w:rsidR="00C00B80">
                    <w:rPr>
                      <w:i/>
                    </w:rPr>
                    <w:t xml:space="preserve">, врачей терапевтов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</w:t>
                  </w:r>
                  <w:r w:rsidR="00DC2E6C">
                    <w:rPr>
                      <w:sz w:val="22"/>
                      <w:szCs w:val="22"/>
                    </w:rPr>
                    <w:t xml:space="preserve"> ЗАПОЛНЕНИЯ УЧАСТНИКАМИ ЗАКУПКИ, </w:t>
                  </w:r>
                  <w:r w:rsidR="00DC2E6C" w:rsidRPr="00DC2E6C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</w:t>
                  </w:r>
                  <w:r w:rsidR="00DC2E6C">
                    <w:rPr>
                      <w:sz w:val="22"/>
                      <w:szCs w:val="22"/>
                    </w:rPr>
                    <w:t xml:space="preserve"> (копия</w:t>
                  </w:r>
                  <w:proofErr w:type="gramEnd"/>
                  <w:r w:rsidR="00DC2E6C">
                    <w:rPr>
                      <w:sz w:val="22"/>
                      <w:szCs w:val="22"/>
                    </w:rPr>
                    <w:t xml:space="preserve"> </w:t>
                  </w:r>
                  <w:r w:rsidR="005566C2" w:rsidRPr="0072639E">
                    <w:rPr>
                      <w:sz w:val="20"/>
                      <w:szCs w:val="20"/>
                    </w:rPr>
                    <w:t>действующих</w:t>
                  </w:r>
                  <w:r w:rsidR="005566C2">
                    <w:rPr>
                      <w:sz w:val="22"/>
                      <w:szCs w:val="22"/>
                    </w:rPr>
                    <w:t xml:space="preserve">  </w:t>
                  </w:r>
                  <w:r w:rsidR="00DC2E6C">
                    <w:rPr>
                      <w:sz w:val="22"/>
                      <w:szCs w:val="22"/>
                    </w:rPr>
                    <w:t xml:space="preserve">сертификатов или </w:t>
                  </w:r>
                  <w:proofErr w:type="gramStart"/>
                  <w:r w:rsidR="00DC2E6C">
                    <w:rPr>
                      <w:sz w:val="22"/>
                      <w:szCs w:val="22"/>
                    </w:rPr>
                    <w:t>удостоверении</w:t>
                  </w:r>
                  <w:proofErr w:type="gramEnd"/>
                  <w:r w:rsidR="00DC2E6C">
                    <w:rPr>
                      <w:sz w:val="22"/>
                      <w:szCs w:val="22"/>
                    </w:rPr>
                    <w:t>).</w:t>
                  </w:r>
                  <w:r w:rsidRPr="001A2690">
                    <w:rPr>
                      <w:sz w:val="22"/>
                      <w:szCs w:val="22"/>
                    </w:rPr>
                    <w:t xml:space="preserve">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 </w:t>
                  </w:r>
                </w:p>
                <w:p w:rsidR="008377CC" w:rsidRDefault="008377CC" w:rsidP="005566C2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8377CC" w:rsidRDefault="008377CC" w:rsidP="005566C2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8377CC" w:rsidRPr="004A10E0" w:rsidRDefault="008377CC" w:rsidP="005566C2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8377CC" w:rsidRPr="004A10E0" w:rsidRDefault="008377CC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C00B80">
                    <w:rPr>
                      <w:rFonts w:ascii="Times New Roman" w:hAnsi="Times New Roman"/>
                      <w:sz w:val="22"/>
                      <w:szCs w:val="24"/>
                    </w:rPr>
                    <w:t>2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врачей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4A10E0" w:rsidRDefault="008377CC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C00B80">
                    <w:rPr>
                      <w:rFonts w:ascii="Times New Roman" w:hAnsi="Times New Roman"/>
                      <w:sz w:val="22"/>
                      <w:szCs w:val="24"/>
                    </w:rPr>
                    <w:t>2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(из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C00B80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C00B80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 человека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) 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50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292E9C" w:rsidRDefault="00C00B80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8377CC"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и более (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 травматолог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 невролог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 человека, врач терапевт – не менее 1 человека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8377CC" w:rsidRPr="00B05F65" w:rsidTr="005566C2">
              <w:trPr>
                <w:trHeight w:val="369"/>
              </w:trPr>
              <w:tc>
                <w:tcPr>
                  <w:tcW w:w="6408" w:type="dxa"/>
                </w:tcPr>
                <w:p w:rsidR="008377CC" w:rsidRPr="000579B7" w:rsidRDefault="008377CC" w:rsidP="005566C2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 xml:space="preserve">Опыт участника по успешному оказанию услуг </w:t>
                  </w: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сопоставимого характера и объема.</w:t>
                  </w:r>
                </w:p>
                <w:p w:rsidR="008377CC" w:rsidRDefault="008377CC" w:rsidP="005566C2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8377CC" w:rsidRPr="00D93BBF" w:rsidRDefault="008377CC" w:rsidP="005566C2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до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8377CC" w:rsidRPr="000579B7" w:rsidRDefault="008377CC" w:rsidP="005566C2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8377CC" w:rsidRDefault="008377CC" w:rsidP="005566C2"/>
                <w:p w:rsidR="008377CC" w:rsidRPr="00542A45" w:rsidRDefault="008377CC" w:rsidP="005566C2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5566C2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8377CC" w:rsidRPr="00EA77A4" w:rsidRDefault="008377CC" w:rsidP="005566C2"/>
                <w:p w:rsidR="008377CC" w:rsidRPr="00EA77A4" w:rsidRDefault="008377CC" w:rsidP="005566C2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EBFF244" wp14:editId="64BDFD75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8377CC" w:rsidRPr="00EA77A4" w:rsidRDefault="008377CC" w:rsidP="005566C2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7B15AC7" wp14:editId="19F46601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8377CC" w:rsidRPr="00EA77A4" w:rsidRDefault="008377CC" w:rsidP="005566C2"/>
                <w:p w:rsidR="008377CC" w:rsidRPr="00EA77A4" w:rsidRDefault="008377CC" w:rsidP="005566C2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9D0878E" wp14:editId="5FED2C33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5566C2"/>
                <w:p w:rsidR="008377CC" w:rsidRPr="00EA77A4" w:rsidRDefault="008377CC" w:rsidP="005566C2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76511F" wp14:editId="4612E894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8377CC" w:rsidRPr="00EA77A4" w:rsidRDefault="008377CC" w:rsidP="005566C2"/>
                <w:p w:rsidR="008377CC" w:rsidRPr="00EA77A4" w:rsidRDefault="008377CC" w:rsidP="005566C2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36B6E94" wp14:editId="3B7DFB95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5566C2"/>
                <w:p w:rsidR="008377CC" w:rsidRPr="00EA77A4" w:rsidRDefault="008377CC" w:rsidP="005566C2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78D227" wp14:editId="39230047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8377CC" w:rsidRDefault="008377CC" w:rsidP="005566C2">
                  <w:pPr>
                    <w:rPr>
                      <w:sz w:val="22"/>
                      <w:szCs w:val="22"/>
                    </w:rPr>
                  </w:pPr>
                </w:p>
                <w:p w:rsidR="008377CC" w:rsidRPr="00EA77A4" w:rsidRDefault="008377CC" w:rsidP="005566C2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8377CC" w:rsidRPr="00EA77A4" w:rsidRDefault="008377CC" w:rsidP="005566C2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8377CC" w:rsidRPr="00EA77A4" w:rsidRDefault="008377CC" w:rsidP="005566C2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F1A086" wp14:editId="19A80D3F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8377CC" w:rsidRPr="00EA77A4" w:rsidRDefault="008377CC" w:rsidP="005566C2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90E1C29" wp14:editId="1D5B18C1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8377CC" w:rsidRDefault="008377CC" w:rsidP="005566C2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36A0B9" wp14:editId="13C0C09C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8377CC" w:rsidRPr="00EA77A4" w:rsidRDefault="008377CC" w:rsidP="005566C2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до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8377CC" w:rsidRPr="00B05F65" w:rsidRDefault="008377CC" w:rsidP="005566C2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AACF89" wp14:editId="7FE89548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8377CC" w:rsidRPr="00B05F65" w:rsidTr="005566C2">
              <w:trPr>
                <w:trHeight w:val="334"/>
              </w:trPr>
              <w:tc>
                <w:tcPr>
                  <w:tcW w:w="6408" w:type="dxa"/>
                </w:tcPr>
                <w:p w:rsidR="008377CC" w:rsidRPr="00B05F65" w:rsidRDefault="008377CC" w:rsidP="005566C2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5566C2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5566C2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8377CC" w:rsidRPr="00435ABB" w:rsidRDefault="008377CC" w:rsidP="005566C2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8377CC" w:rsidRPr="00435ABB" w:rsidRDefault="008377CC" w:rsidP="005566C2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8377CC" w:rsidRPr="00435ABB" w:rsidRDefault="008377CC" w:rsidP="005566C2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8377CC" w:rsidRPr="00435ABB" w:rsidRDefault="008377CC" w:rsidP="005566C2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8377CC" w:rsidRPr="00435ABB" w:rsidRDefault="008377CC" w:rsidP="005566C2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8377CC" w:rsidRPr="00B05F65" w:rsidRDefault="008377CC" w:rsidP="005566C2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8377CC" w:rsidRPr="00B05F65" w:rsidRDefault="008377CC" w:rsidP="005566C2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8377CC" w:rsidRDefault="008377CC" w:rsidP="008377CC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8377CC" w:rsidRDefault="008377CC" w:rsidP="008377CC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</w:p>
    <w:sectPr w:rsidR="0083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CC"/>
    <w:rsid w:val="005566C2"/>
    <w:rsid w:val="008377CC"/>
    <w:rsid w:val="00C00B80"/>
    <w:rsid w:val="00D10D73"/>
    <w:rsid w:val="00DC2E6C"/>
    <w:rsid w:val="00EB527E"/>
    <w:rsid w:val="00F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Ковылин Сергей Витальевич</cp:lastModifiedBy>
  <cp:revision>4</cp:revision>
  <dcterms:created xsi:type="dcterms:W3CDTF">2019-04-03T06:07:00Z</dcterms:created>
  <dcterms:modified xsi:type="dcterms:W3CDTF">2019-05-03T06:59:00Z</dcterms:modified>
</cp:coreProperties>
</file>