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F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1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7"/>
        <w:gridCol w:w="2126"/>
        <w:gridCol w:w="1133"/>
        <w:gridCol w:w="1418"/>
        <w:gridCol w:w="1701"/>
      </w:tblGrid>
      <w:tr w:rsidR="00AA1149" w:rsidRPr="00AA1149" w:rsidTr="00AA1149">
        <w:trPr>
          <w:cantSplit/>
        </w:trPr>
        <w:tc>
          <w:tcPr>
            <w:tcW w:w="596" w:type="dxa"/>
            <w:textDirection w:val="btLr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07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Значимость критерия </w:t>
            </w: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в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Коэффициент значимости критерия / показателя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AA1149" w:rsidRPr="00AA1149" w:rsidTr="00AA1149">
        <w:trPr>
          <w:cantSplit/>
        </w:trPr>
        <w:tc>
          <w:tcPr>
            <w:tcW w:w="10881" w:type="dxa"/>
            <w:gridSpan w:val="6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Стоимостной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критерий оценки</w:t>
            </w:r>
          </w:p>
        </w:tc>
      </w:tr>
      <w:tr w:rsidR="00AA1149" w:rsidRPr="00AA1149" w:rsidTr="00AA1149">
        <w:tc>
          <w:tcPr>
            <w:tcW w:w="59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Ra</w:t>
            </w:r>
          </w:p>
        </w:tc>
      </w:tr>
      <w:tr w:rsidR="00AA1149" w:rsidRPr="00AA1149" w:rsidTr="00AA1149">
        <w:tc>
          <w:tcPr>
            <w:tcW w:w="10881" w:type="dxa"/>
            <w:gridSpan w:val="6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AA1149" w:rsidRPr="00AA1149" w:rsidTr="00AA1149">
        <w:tc>
          <w:tcPr>
            <w:tcW w:w="596" w:type="dxa"/>
            <w:vMerge w:val="restart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0,30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0,40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  <w:r w:rsidRPr="00AA114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0,60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b2</w:t>
            </w:r>
          </w:p>
        </w:tc>
      </w:tr>
      <w:tr w:rsidR="00AA1149" w:rsidRPr="00AA1149" w:rsidTr="00AA1149">
        <w:tc>
          <w:tcPr>
            <w:tcW w:w="4503" w:type="dxa"/>
            <w:gridSpan w:val="2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- 70 %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- 0,7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Оценка критерия (баллы): - 100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lastRenderedPageBreak/>
        <w:t xml:space="preserve">б)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рейтинг, присуждаемого </w:t>
      </w:r>
      <w:proofErr w:type="spellStart"/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 по критерию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0,7 - коэффициент значимости указанного критерия.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>нестоимостной</w:t>
      </w:r>
      <w:proofErr w:type="spellEnd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 критерий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Величина значимости критерия – 30 %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Коэффициент значимости критерия оценки – 0,30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Применяемые показатели данного критерия: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показателя:0,40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B5273C">
        <w:rPr>
          <w:rFonts w:ascii="Times New Roman" w:eastAsia="Calibri" w:hAnsi="Times New Roman" w:cs="Times New Roman"/>
          <w:spacing w:val="-4"/>
          <w:lang w:eastAsia="ru-RU"/>
        </w:rPr>
        <w:t>35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1),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 xml:space="preserve">где: 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показателя:0,60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B5273C">
        <w:rPr>
          <w:rFonts w:ascii="Times New Roman" w:eastAsia="Calibri" w:hAnsi="Times New Roman" w:cs="Times New Roman"/>
          <w:spacing w:val="-4"/>
          <w:lang w:eastAsia="ru-RU"/>
        </w:rPr>
        <w:t>350</w:t>
      </w:r>
      <w:bookmarkStart w:id="0" w:name="_GoBack"/>
      <w:bookmarkEnd w:id="0"/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 штук.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lastRenderedPageBreak/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2),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=КЗ х(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 +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2)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1,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Расчет итогового рейтинга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 xml:space="preserve"> = </w:t>
      </w: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+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>-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Calibri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–ой заявке;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–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«цена контракта»;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Для оценки заявок по каждому критерию оценки используется 100–балльная шкала оценки.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A1149" w:rsidRDefault="00AA1149" w:rsidP="00AA1149">
      <w:r w:rsidRPr="00AA1149">
        <w:rPr>
          <w:rFonts w:ascii="Times New Roman" w:eastAsia="Calibri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A1149" w:rsidRDefault="00AA1149"/>
    <w:p w:rsidR="00AA1149" w:rsidRDefault="00AA1149"/>
    <w:sectPr w:rsidR="00AA1149" w:rsidSect="00AA11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7"/>
    <w:rsid w:val="002561BF"/>
    <w:rsid w:val="005B45AC"/>
    <w:rsid w:val="006E6707"/>
    <w:rsid w:val="00AA1149"/>
    <w:rsid w:val="00B5273C"/>
    <w:rsid w:val="00D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3</cp:revision>
  <dcterms:created xsi:type="dcterms:W3CDTF">2019-08-23T09:56:00Z</dcterms:created>
  <dcterms:modified xsi:type="dcterms:W3CDTF">2019-08-23T11:29:00Z</dcterms:modified>
</cp:coreProperties>
</file>