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0" w:rsidRDefault="00D41260" w:rsidP="00D41260">
      <w:pPr>
        <w:pStyle w:val="Style32"/>
        <w:ind w:firstLine="715"/>
        <w:jc w:val="center"/>
        <w:rPr>
          <w:b/>
          <w:lang w:eastAsia="en-US"/>
        </w:rPr>
      </w:pPr>
      <w:bookmarkStart w:id="0" w:name="_GoBack"/>
      <w:bookmarkEnd w:id="0"/>
      <w:r w:rsidRPr="000B5CD8">
        <w:rPr>
          <w:b/>
          <w:lang w:eastAsia="en-US"/>
        </w:rPr>
        <w:t>ПОРЯДОК И КРИТЕРИИ ОЦЕНКИ ЗАЯВОК НА УЧАСТИЕ В КОНКУРСЕ</w:t>
      </w:r>
    </w:p>
    <w:p w:rsidR="00D41260" w:rsidRPr="000B5CD8" w:rsidRDefault="00D41260" w:rsidP="00D41260">
      <w:pPr>
        <w:pStyle w:val="Style32"/>
        <w:ind w:firstLine="715"/>
        <w:jc w:val="center"/>
        <w:rPr>
          <w:b/>
          <w:lang w:eastAsia="en-US"/>
        </w:rPr>
      </w:pPr>
    </w:p>
    <w:p w:rsidR="00D41260" w:rsidRDefault="00D41260" w:rsidP="00D41260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  <w:r w:rsidRPr="000B5CD8">
        <w:rPr>
          <w:b/>
          <w:lang w:eastAsia="en-US"/>
        </w:rPr>
        <w:t>Критерии оценки заявок на участие в открытом конкурсе, величины значимости</w:t>
      </w:r>
    </w:p>
    <w:p w:rsidR="007619CD" w:rsidRPr="00625660" w:rsidRDefault="00D41260" w:rsidP="007619CD">
      <w:pPr>
        <w:widowControl w:val="0"/>
        <w:ind w:right="639"/>
        <w:jc w:val="center"/>
        <w:rPr>
          <w:sz w:val="27"/>
          <w:szCs w:val="27"/>
        </w:rPr>
      </w:pPr>
      <w:r w:rsidRPr="000B5CD8">
        <w:rPr>
          <w:b/>
          <w:lang w:eastAsia="en-US"/>
        </w:rPr>
        <w:t xml:space="preserve">этих критериев, порядок рассмотрения и оценки заявок на участие в открытом </w:t>
      </w:r>
      <w:r w:rsidRPr="007619CD">
        <w:rPr>
          <w:b/>
          <w:lang w:eastAsia="en-US"/>
        </w:rPr>
        <w:t>конкурсе</w:t>
      </w:r>
      <w:r w:rsidR="007619CD">
        <w:rPr>
          <w:b/>
          <w:lang w:eastAsia="en-US"/>
        </w:rPr>
        <w:t xml:space="preserve"> </w:t>
      </w:r>
      <w:r w:rsidR="007619CD" w:rsidRPr="00AE5255">
        <w:rPr>
          <w:b/>
          <w:sz w:val="26"/>
          <w:szCs w:val="26"/>
        </w:rPr>
        <w:t xml:space="preserve">на поставку </w:t>
      </w:r>
      <w:r w:rsidR="007619CD" w:rsidRPr="0037090E">
        <w:rPr>
          <w:b/>
          <w:sz w:val="26"/>
          <w:szCs w:val="26"/>
        </w:rPr>
        <w:t>технических средств реабилитации – кресел-колясок с ручным приводом комнатных/прогулочных (для инвалидов и детей-инвалидов) в 2020 году</w:t>
      </w:r>
    </w:p>
    <w:p w:rsidR="00D41260" w:rsidRPr="000B5CD8" w:rsidRDefault="00D41260" w:rsidP="00D41260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D41260" w:rsidRDefault="00D41260" w:rsidP="00D41260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D41260" w:rsidRPr="006F29C2" w:rsidRDefault="00D41260" w:rsidP="00D41260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D41260" w:rsidRPr="006F29C2" w:rsidRDefault="00D41260" w:rsidP="00D41260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D41260" w:rsidRPr="00986F45" w:rsidRDefault="00D41260" w:rsidP="00D41260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"/>
        <w:gridCol w:w="2374"/>
        <w:gridCol w:w="2455"/>
        <w:gridCol w:w="711"/>
        <w:gridCol w:w="1585"/>
        <w:gridCol w:w="1349"/>
      </w:tblGrid>
      <w:tr w:rsidR="00D41260" w:rsidRPr="004A3295" w:rsidTr="0054706A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D41260" w:rsidRPr="004A3295" w:rsidTr="0054706A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D41260" w:rsidRPr="004A3295" w:rsidTr="0054706A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D41260" w:rsidRPr="004A3295" w:rsidTr="0054706A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Нестоимостные критерии оценки</w:t>
            </w:r>
          </w:p>
        </w:tc>
      </w:tr>
      <w:tr w:rsidR="00D41260" w:rsidRPr="004A3295" w:rsidTr="0054706A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41260" w:rsidRPr="004A3295" w:rsidRDefault="00D41260" w:rsidP="005470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</w:p>
        </w:tc>
      </w:tr>
      <w:tr w:rsidR="00D41260" w:rsidRPr="004A3295" w:rsidTr="0054706A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D41260" w:rsidRPr="004A3295" w:rsidTr="0054706A">
        <w:trPr>
          <w:trHeight w:hRule="exact" w:val="280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60416E" w:rsidRDefault="00D41260" w:rsidP="005470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D41260" w:rsidRPr="004A3295" w:rsidTr="0054706A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60" w:rsidRPr="004A3295" w:rsidRDefault="00D41260" w:rsidP="0054706A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41260" w:rsidRDefault="00D41260" w:rsidP="00D41260">
      <w:pPr>
        <w:pStyle w:val="Style18"/>
        <w:widowControl/>
        <w:ind w:left="19"/>
        <w:jc w:val="both"/>
        <w:rPr>
          <w:rStyle w:val="FontStyle39"/>
        </w:rPr>
      </w:pPr>
    </w:p>
    <w:p w:rsidR="00D41260" w:rsidRPr="00986F45" w:rsidRDefault="00D41260" w:rsidP="00D41260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D41260" w:rsidRPr="009E1FDF" w:rsidRDefault="00D41260" w:rsidP="00D41260">
      <w:r w:rsidRPr="009E1FDF">
        <w:t>Величина значимости критерия – 70 %.</w:t>
      </w:r>
    </w:p>
    <w:p w:rsidR="00D41260" w:rsidRPr="009E1FDF" w:rsidRDefault="00D41260" w:rsidP="00D41260">
      <w:r w:rsidRPr="009E1FDF">
        <w:t>Коэффициент значимости критерия оценки – 0,70.</w:t>
      </w:r>
    </w:p>
    <w:p w:rsidR="00D41260" w:rsidRPr="009E1FDF" w:rsidRDefault="00D41260" w:rsidP="00D41260">
      <w:r w:rsidRPr="009E1FDF">
        <w:t xml:space="preserve">Оценка критерия (баллы): – 100. </w:t>
      </w:r>
    </w:p>
    <w:p w:rsidR="00D41260" w:rsidRPr="004A3295" w:rsidRDefault="00D41260" w:rsidP="00D41260">
      <w:pPr>
        <w:rPr>
          <w:b/>
        </w:rPr>
      </w:pPr>
    </w:p>
    <w:p w:rsidR="00D41260" w:rsidRPr="004A3295" w:rsidRDefault="00D41260" w:rsidP="00D41260">
      <w:r w:rsidRPr="004A3295">
        <w:t>Количество баллов, присуждаемых по критерию оценки «Цена контракта», определяется по формуле:</w:t>
      </w:r>
    </w:p>
    <w:p w:rsidR="00D41260" w:rsidRPr="004A3295" w:rsidRDefault="00D41260" w:rsidP="00D41260">
      <w:pPr>
        <w:numPr>
          <w:ilvl w:val="0"/>
          <w:numId w:val="1"/>
        </w:numPr>
        <w:suppressAutoHyphens/>
        <w:spacing w:after="60"/>
        <w:jc w:val="both"/>
      </w:pPr>
      <w:r w:rsidRPr="004A3295"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 0,</w:t>
      </w:r>
    </w:p>
    <w:p w:rsidR="00D41260" w:rsidRPr="004A3295" w:rsidRDefault="00D41260" w:rsidP="00D41260"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D41260" w:rsidRPr="004A3295" w:rsidRDefault="00D41260" w:rsidP="00D41260">
      <w:r w:rsidRPr="004A3295">
        <w:t>где:</w:t>
      </w:r>
    </w:p>
    <w:p w:rsidR="00D41260" w:rsidRPr="004A3295" w:rsidRDefault="00D41260" w:rsidP="00D41260">
      <w:pPr>
        <w:rPr>
          <w:i/>
        </w:rPr>
      </w:pPr>
      <w:r w:rsidRPr="004A3295">
        <w:rPr>
          <w:i/>
        </w:rPr>
        <w:t>ЦБ</w:t>
      </w:r>
      <w:r w:rsidRPr="004A3295">
        <w:rPr>
          <w:i/>
          <w:vertAlign w:val="subscript"/>
          <w:lang w:val="en-US"/>
        </w:rPr>
        <w:t>i</w:t>
      </w:r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D41260" w:rsidRPr="004A3295" w:rsidRDefault="00D41260" w:rsidP="00D41260"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D41260" w:rsidRPr="004A3295" w:rsidRDefault="00D41260" w:rsidP="00D41260"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D41260" w:rsidRPr="004A3295" w:rsidRDefault="00D41260" w:rsidP="00D41260">
      <w:r w:rsidRPr="004A3295"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&lt; 0,</w:t>
      </w:r>
    </w:p>
    <w:p w:rsidR="00D41260" w:rsidRPr="004A3295" w:rsidRDefault="00D41260" w:rsidP="00D41260"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D41260" w:rsidRPr="004A3295" w:rsidRDefault="00D41260" w:rsidP="00D41260">
      <w:r w:rsidRPr="004A3295">
        <w:t>где:</w:t>
      </w:r>
    </w:p>
    <w:p w:rsidR="00D41260" w:rsidRPr="004A3295" w:rsidRDefault="00D41260" w:rsidP="00D41260">
      <w:pPr>
        <w:rPr>
          <w:i/>
        </w:rPr>
      </w:pPr>
      <w:r w:rsidRPr="004A3295">
        <w:rPr>
          <w:i/>
        </w:rPr>
        <w:t>ЦБ</w:t>
      </w:r>
      <w:r w:rsidRPr="004A3295">
        <w:rPr>
          <w:i/>
          <w:vertAlign w:val="subscript"/>
          <w:lang w:val="en-US"/>
        </w:rPr>
        <w:t>i</w:t>
      </w:r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D41260" w:rsidRPr="004A3295" w:rsidRDefault="00D41260" w:rsidP="00D41260"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D41260" w:rsidRPr="004A3295" w:rsidRDefault="00D41260" w:rsidP="00D41260"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D41260" w:rsidRPr="004A3295" w:rsidRDefault="00D41260" w:rsidP="00D41260"/>
    <w:p w:rsidR="00D41260" w:rsidRPr="004A3295" w:rsidRDefault="00D41260" w:rsidP="00D41260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41260" w:rsidRPr="004A3295" w:rsidRDefault="0055480A" w:rsidP="00D41260">
      <w:r>
        <w:rPr>
          <w:noProof/>
          <w:position w:val="-10"/>
        </w:rPr>
        <w:drawing>
          <wp:inline distT="0" distB="0" distL="0" distR="0">
            <wp:extent cx="1407160" cy="23050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0" w:rsidRPr="0060416E" w:rsidRDefault="00D41260" w:rsidP="00D41260">
      <w:r w:rsidRPr="004A3295">
        <w:t>где</w:t>
      </w:r>
      <w:r w:rsidRPr="0060416E">
        <w:t>:</w:t>
      </w:r>
    </w:p>
    <w:p w:rsidR="00D41260" w:rsidRPr="0060416E" w:rsidRDefault="00D41260" w:rsidP="00D41260"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</w:p>
    <w:p w:rsidR="00D41260" w:rsidRPr="0060416E" w:rsidRDefault="00D41260" w:rsidP="00D41260">
      <w:r w:rsidRPr="0060416E">
        <w:t>0,70 – коэффициент значимости указанного критерия.</w:t>
      </w:r>
    </w:p>
    <w:p w:rsidR="00D41260" w:rsidRPr="0060416E" w:rsidRDefault="00D41260" w:rsidP="00D41260">
      <w:pPr>
        <w:pStyle w:val="Style30"/>
        <w:widowControl/>
        <w:spacing w:line="240" w:lineRule="auto"/>
        <w:ind w:left="691" w:firstLine="0"/>
        <w:jc w:val="both"/>
      </w:pPr>
    </w:p>
    <w:p w:rsidR="00D41260" w:rsidRDefault="00D41260" w:rsidP="00D41260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t>Критерий, характеризующийся, как нестоимостной критерий оценки</w:t>
      </w:r>
      <w:r w:rsidRPr="0060416E">
        <w:rPr>
          <w:rStyle w:val="FontStyle39"/>
        </w:rPr>
        <w:t>:</w:t>
      </w:r>
    </w:p>
    <w:p w:rsidR="00D41260" w:rsidRPr="0060416E" w:rsidRDefault="00D41260" w:rsidP="00D41260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D41260" w:rsidRDefault="00D41260" w:rsidP="00D41260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 w:rsidRPr="0060416E">
        <w:rPr>
          <w:rStyle w:val="FontStyle39"/>
        </w:rPr>
        <w:t>2.2.Критерий: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260" w:rsidRPr="00D80702" w:rsidRDefault="00D41260" w:rsidP="00D41260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D41260" w:rsidRPr="009E1FDF" w:rsidRDefault="00D41260" w:rsidP="00D41260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D41260" w:rsidRPr="009E1FDF" w:rsidRDefault="00D41260" w:rsidP="00D41260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D41260" w:rsidRPr="009E1FDF" w:rsidRDefault="00D41260" w:rsidP="00D41260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>Применяемые показатели данного критерия:</w:t>
      </w:r>
    </w:p>
    <w:p w:rsidR="00D41260" w:rsidRPr="00986F45" w:rsidRDefault="00D41260" w:rsidP="00D41260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D41260" w:rsidRPr="00013E72" w:rsidRDefault="00D41260" w:rsidP="00D41260">
      <w:pPr>
        <w:ind w:left="5" w:firstLine="704"/>
        <w:jc w:val="both"/>
        <w:rPr>
          <w:b/>
        </w:rPr>
      </w:pPr>
      <w:r w:rsidRPr="00013E72">
        <w:rPr>
          <w:b/>
        </w:rPr>
        <w:lastRenderedPageBreak/>
        <w:t>2.1.1. Опыт участника по успешной поставке товара, выполнению работ, оказанию услуг сопоставимого характера и объема.</w:t>
      </w:r>
    </w:p>
    <w:p w:rsidR="00D41260" w:rsidRPr="00013E72" w:rsidRDefault="00D41260" w:rsidP="00D41260">
      <w:pPr>
        <w:ind w:left="5" w:firstLine="704"/>
        <w:rPr>
          <w:b/>
        </w:rPr>
      </w:pPr>
      <w:r w:rsidRPr="00013E72">
        <w:rPr>
          <w:b/>
        </w:rPr>
        <w:t>Оценка показателя (баллы): 100 баллов</w:t>
      </w:r>
      <w:r>
        <w:rPr>
          <w:b/>
        </w:rPr>
        <w:t>.</w:t>
      </w:r>
    </w:p>
    <w:p w:rsidR="00D41260" w:rsidRPr="0060416E" w:rsidRDefault="00D41260" w:rsidP="00D41260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D41260" w:rsidRPr="0060416E" w:rsidRDefault="00D41260" w:rsidP="00D41260">
      <w:pPr>
        <w:ind w:left="5" w:firstLine="704"/>
        <w:rPr>
          <w:b/>
        </w:rPr>
      </w:pPr>
    </w:p>
    <w:p w:rsidR="00D41260" w:rsidRPr="0060416E" w:rsidRDefault="00D41260" w:rsidP="00D41260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D41260" w:rsidRPr="0060416E" w:rsidRDefault="00D41260" w:rsidP="00D41260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CF06E8">
        <w:rPr>
          <w:u w:val="single"/>
        </w:rPr>
        <w:t>1000</w:t>
      </w:r>
      <w:r w:rsidRPr="0060416E">
        <w:t xml:space="preserve"> штук. Подтверждается копиями государственных контрактов, актов оказанных услуг к ним. </w:t>
      </w:r>
      <w:r w:rsidRPr="0060416E">
        <w:rPr>
          <w:i/>
        </w:rPr>
        <w:t>Сведения об опыте участника конкурса для осуществления поставки предоставляются по рекомендованной форме № 2 (раздел III конкурсной документации).</w:t>
      </w:r>
    </w:p>
    <w:p w:rsidR="00D41260" w:rsidRPr="0060416E" w:rsidRDefault="00D41260" w:rsidP="00D41260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D41260" w:rsidRPr="0060416E" w:rsidRDefault="00D41260" w:rsidP="00D41260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D41260" w:rsidRPr="0060416E" w:rsidRDefault="00D41260" w:rsidP="00D41260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r w:rsidRPr="0060416E">
        <w:rPr>
          <w:lang w:val="en-US" w:eastAsia="en-US"/>
        </w:rPr>
        <w:t>i</w:t>
      </w:r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D41260" w:rsidRPr="0060416E" w:rsidRDefault="00D41260" w:rsidP="00D41260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D41260" w:rsidRPr="0060416E" w:rsidRDefault="00D41260" w:rsidP="00D41260">
      <w:pPr>
        <w:pStyle w:val="Style6"/>
        <w:widowControl/>
        <w:rPr>
          <w:rStyle w:val="FontStyle37"/>
        </w:rPr>
      </w:pPr>
      <w:r w:rsidRPr="0060416E">
        <w:rPr>
          <w:rStyle w:val="FontStyle37"/>
        </w:rPr>
        <w:t>КЗ - коэффициент значимости показателя.</w:t>
      </w:r>
    </w:p>
    <w:p w:rsidR="00D41260" w:rsidRPr="0060416E" w:rsidRDefault="00D41260" w:rsidP="00D41260">
      <w:pPr>
        <w:pStyle w:val="Style28"/>
        <w:widowControl/>
        <w:jc w:val="both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</w:p>
    <w:p w:rsidR="00D41260" w:rsidRPr="0060416E" w:rsidRDefault="00D41260" w:rsidP="00D41260">
      <w:pPr>
        <w:pStyle w:val="Style21"/>
        <w:widowControl/>
        <w:spacing w:line="240" w:lineRule="auto"/>
        <w:ind w:right="19" w:firstLine="0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</w:p>
    <w:p w:rsidR="00D41260" w:rsidRPr="0060416E" w:rsidRDefault="00D41260" w:rsidP="00D41260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D41260" w:rsidRPr="0060416E" w:rsidRDefault="00D41260" w:rsidP="00D41260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D41260" w:rsidRPr="0060416E" w:rsidRDefault="00D41260" w:rsidP="00D41260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D41260" w:rsidRPr="0060416E" w:rsidRDefault="00D41260" w:rsidP="00D41260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D41260" w:rsidRPr="0060416E" w:rsidRDefault="00D41260" w:rsidP="00D41260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D41260" w:rsidRDefault="00D41260" w:rsidP="00D41260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CF06E8">
        <w:rPr>
          <w:u w:val="single"/>
        </w:rPr>
        <w:t>1000</w:t>
      </w:r>
      <w:r w:rsidRPr="0060416E">
        <w:t xml:space="preserve"> штук.</w:t>
      </w:r>
    </w:p>
    <w:p w:rsidR="00D41260" w:rsidRPr="00013E72" w:rsidRDefault="00D41260" w:rsidP="00D41260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D41260" w:rsidRPr="00013E72" w:rsidRDefault="00D41260" w:rsidP="00D41260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D41260" w:rsidRDefault="00D41260" w:rsidP="00D41260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r w:rsidRPr="00013E72">
        <w:rPr>
          <w:lang w:val="en-US" w:eastAsia="en-US"/>
        </w:rPr>
        <w:t>i</w:t>
      </w:r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D41260" w:rsidRPr="00986F45" w:rsidRDefault="00D41260" w:rsidP="00D41260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D41260" w:rsidRPr="00986F45" w:rsidRDefault="00D41260" w:rsidP="00D41260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КЗ - коэффициент значимости показателя.</w:t>
      </w:r>
    </w:p>
    <w:p w:rsidR="00D41260" w:rsidRPr="00986F45" w:rsidRDefault="00D41260" w:rsidP="00D41260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41260" w:rsidRDefault="00D41260" w:rsidP="00D41260">
      <w:pPr>
        <w:pStyle w:val="Style31"/>
        <w:widowControl/>
        <w:spacing w:line="240" w:lineRule="auto"/>
        <w:ind w:firstLine="0"/>
        <w:jc w:val="both"/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</w:p>
    <w:p w:rsidR="00D41260" w:rsidRPr="00986F45" w:rsidRDefault="00D41260" w:rsidP="00D41260">
      <w:pPr>
        <w:pStyle w:val="Style2"/>
        <w:widowControl/>
        <w:spacing w:line="240" w:lineRule="auto"/>
        <w:ind w:left="43"/>
        <w:jc w:val="both"/>
      </w:pPr>
    </w:p>
    <w:p w:rsidR="00D41260" w:rsidRPr="0048757E" w:rsidRDefault="00D41260" w:rsidP="00D41260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41260" w:rsidRPr="0048757E" w:rsidRDefault="00D41260" w:rsidP="00D41260">
      <w:pPr>
        <w:widowControl w:val="0"/>
        <w:jc w:val="both"/>
        <w:rPr>
          <w:lang w:eastAsia="en-US"/>
        </w:rPr>
      </w:pPr>
      <w:r w:rsidRPr="0048757E">
        <w:rPr>
          <w:lang w:val="en-US" w:eastAsia="en-US"/>
        </w:rPr>
        <w:t>Rb</w:t>
      </w:r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D41260" w:rsidRPr="0048757E" w:rsidRDefault="00D41260" w:rsidP="00D41260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eastAsia="en-US"/>
        </w:rPr>
        <w:t>КЗ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D41260" w:rsidRPr="0048757E" w:rsidRDefault="00D41260" w:rsidP="00D41260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</w:t>
      </w:r>
      <w:r w:rsidRPr="0048757E">
        <w:rPr>
          <w:lang w:eastAsia="en-US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260" w:rsidRPr="0048757E" w:rsidRDefault="00D41260" w:rsidP="00D41260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Rb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260" w:rsidRPr="00986F45" w:rsidRDefault="00D41260" w:rsidP="00D41260">
      <w:pPr>
        <w:pStyle w:val="Style2"/>
        <w:widowControl/>
        <w:spacing w:line="240" w:lineRule="auto"/>
        <w:ind w:right="14"/>
        <w:jc w:val="both"/>
      </w:pPr>
    </w:p>
    <w:p w:rsidR="00D41260" w:rsidRDefault="00D41260" w:rsidP="00D41260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D41260" w:rsidRPr="0048757E" w:rsidRDefault="00D41260" w:rsidP="00D41260">
      <w:pPr>
        <w:widowControl w:val="0"/>
        <w:jc w:val="center"/>
        <w:rPr>
          <w:b/>
          <w:bCs/>
        </w:rPr>
      </w:pPr>
    </w:p>
    <w:p w:rsidR="00D41260" w:rsidRPr="0048757E" w:rsidRDefault="00D41260" w:rsidP="00D41260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D41260" w:rsidRPr="0048757E" w:rsidRDefault="00D41260" w:rsidP="00D41260">
      <w:pPr>
        <w:autoSpaceDE w:val="0"/>
        <w:autoSpaceDN w:val="0"/>
        <w:adjustRightInd w:val="0"/>
        <w:ind w:firstLine="709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r w:rsidRPr="0048757E">
        <w:rPr>
          <w:lang w:val="en-US"/>
        </w:rPr>
        <w:t>Rb</w:t>
      </w:r>
      <w:r>
        <w:t>,</w:t>
      </w:r>
    </w:p>
    <w:p w:rsidR="00D41260" w:rsidRPr="0048757E" w:rsidRDefault="00D41260" w:rsidP="00D41260">
      <w:pPr>
        <w:tabs>
          <w:tab w:val="left" w:pos="1243"/>
        </w:tabs>
        <w:ind w:firstLine="709"/>
      </w:pPr>
      <w:r w:rsidRPr="0048757E">
        <w:t xml:space="preserve">где: </w:t>
      </w:r>
    </w:p>
    <w:p w:rsidR="00D41260" w:rsidRPr="0048757E" w:rsidRDefault="00D41260" w:rsidP="00D41260">
      <w:pPr>
        <w:tabs>
          <w:tab w:val="left" w:pos="1243"/>
        </w:tabs>
        <w:ind w:firstLine="709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D41260" w:rsidRPr="0048757E" w:rsidRDefault="00D41260" w:rsidP="00D41260">
      <w:pPr>
        <w:ind w:left="709"/>
      </w:pPr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</w:p>
    <w:p w:rsidR="00D41260" w:rsidRPr="0048757E" w:rsidRDefault="00D41260" w:rsidP="00D41260">
      <w:pPr>
        <w:ind w:firstLine="709"/>
        <w:jc w:val="both"/>
      </w:pPr>
      <w:r w:rsidRPr="0048757E">
        <w:rPr>
          <w:lang w:val="en-US"/>
        </w:rPr>
        <w:t>Rb</w:t>
      </w:r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260" w:rsidRPr="0048757E" w:rsidRDefault="00D41260" w:rsidP="00D41260">
      <w:pPr>
        <w:ind w:firstLine="709"/>
        <w:jc w:val="both"/>
      </w:pPr>
    </w:p>
    <w:p w:rsidR="00D41260" w:rsidRDefault="00D41260" w:rsidP="00D41260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D41260" w:rsidRPr="0048757E" w:rsidRDefault="00D41260" w:rsidP="00D41260">
      <w:pPr>
        <w:jc w:val="center"/>
        <w:rPr>
          <w:b/>
          <w:bCs/>
        </w:rPr>
      </w:pPr>
    </w:p>
    <w:p w:rsidR="00D41260" w:rsidRPr="0048757E" w:rsidRDefault="00D41260" w:rsidP="00D41260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D41260" w:rsidRPr="0048757E" w:rsidRDefault="00D41260" w:rsidP="00D41260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D41260" w:rsidRPr="0048757E" w:rsidRDefault="00D41260" w:rsidP="00D41260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D41260" w:rsidRDefault="00D41260" w:rsidP="00D41260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D41260" w:rsidRPr="00986F45" w:rsidRDefault="00D41260" w:rsidP="00D41260">
      <w:pPr>
        <w:pStyle w:val="Style2"/>
        <w:widowControl/>
        <w:spacing w:line="240" w:lineRule="auto"/>
        <w:jc w:val="both"/>
      </w:pPr>
    </w:p>
    <w:sectPr w:rsidR="00D41260" w:rsidRPr="00986F45" w:rsidSect="00D412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C"/>
    <w:rsid w:val="00022E0F"/>
    <w:rsid w:val="0055480A"/>
    <w:rsid w:val="007619CD"/>
    <w:rsid w:val="00983F14"/>
    <w:rsid w:val="00CF06E8"/>
    <w:rsid w:val="00D41260"/>
    <w:rsid w:val="00E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E483-AF88-4584-AF1E-06582CE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D4126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1260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4126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41260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D4126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D41260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D41260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D41260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D412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D41260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1260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D4126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D41260"/>
    <w:pPr>
      <w:widowControl w:val="0"/>
      <w:autoSpaceDE w:val="0"/>
      <w:autoSpaceDN w:val="0"/>
      <w:adjustRightInd w:val="0"/>
      <w:spacing w:line="322" w:lineRule="exact"/>
      <w:ind w:hanging="331"/>
    </w:pPr>
  </w:style>
  <w:style w:type="paragraph" w:styleId="a3">
    <w:name w:val="Balloon Text"/>
    <w:basedOn w:val="a"/>
    <w:link w:val="a4"/>
    <w:uiPriority w:val="99"/>
    <w:semiHidden/>
    <w:unhideWhenUsed/>
    <w:rsid w:val="00D4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2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2E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Ефим Николаевич</dc:creator>
  <cp:keywords/>
  <dc:description/>
  <cp:lastModifiedBy>Долбнев Павел Сергеевич</cp:lastModifiedBy>
  <cp:revision>2</cp:revision>
  <dcterms:created xsi:type="dcterms:W3CDTF">2020-02-12T12:28:00Z</dcterms:created>
  <dcterms:modified xsi:type="dcterms:W3CDTF">2020-02-12T12:28:00Z</dcterms:modified>
</cp:coreProperties>
</file>