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2" w:rsidRPr="002331D4" w:rsidRDefault="00696852" w:rsidP="00696852">
      <w:pPr>
        <w:jc w:val="center"/>
      </w:pPr>
      <w:r w:rsidRPr="002331D4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696852" w:rsidRPr="002331D4" w:rsidRDefault="00696852" w:rsidP="00696852"/>
    <w:p w:rsidR="00696852" w:rsidRPr="002331D4" w:rsidRDefault="00696852" w:rsidP="00696852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2331D4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 предусмотрены частью 3 статьи 54.5.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Участник Конкурса не допускается к участию в Конкурсе в случае: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непредоставления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Отказ в допуске к участию в Конкурсе по основаниям, не предусмотренным частью 3 статьи 54.5. Закона, не допускается.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Конкурсе. Указанный протокол должен содержать информацию: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первых частей заявок на участие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идентификационных номерах заявок на участие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 в Конкурсе, которые не соответствуют требованиям, установленным Документацией;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случае,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первых частей заявок на участие в Конкурсе вносится информация о признании Конкурса несостоявшимся.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</w:t>
      </w:r>
      <w:r w:rsidRPr="002331D4">
        <w:lastRenderedPageBreak/>
        <w:t>электронной площадки обязан направить каждому участнику Конкурса, подавшему заявку на участие в Конкурсе, информацию:</w:t>
      </w:r>
    </w:p>
    <w:p w:rsidR="00696852" w:rsidRPr="00835D0B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1) </w:t>
      </w:r>
      <w:r w:rsidRPr="00835D0B">
        <w:t>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</w:p>
    <w:p w:rsidR="00696852" w:rsidRPr="00835D0B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2) о наиболее низкой цене контракта, предложенной участником Конкурса, допущенным к участию в Конкурсе, без указания сведений об этом участнике;</w:t>
      </w:r>
    </w:p>
    <w:p w:rsidR="00696852" w:rsidRPr="00835D0B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4) о дате и времени начала проведения процедуры подачи окончательных предложений о цене контракта.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2331D4">
        <w:rPr>
          <w:b/>
        </w:rPr>
        <w:t xml:space="preserve">Порядок рассмотрения и оценки вторых частей заявок на участие в Конкурсе 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Заявка на участие в Конкурсе признается не соответствующей требованиям, установленным Документацией: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в случаях, предусмотренных нормативными правовыми актами, принятыми в соответствии со статьей 14 Закона;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указанных в Документации и относящихся ко второй части заявки (при установлении этих критериев в Документации). Оценка указанных заявок не осуществляется в случае признания </w:t>
      </w:r>
      <w:proofErr w:type="gramStart"/>
      <w:r w:rsidRPr="002331D4">
        <w:t>Конкурса  не</w:t>
      </w:r>
      <w:proofErr w:type="gramEnd"/>
      <w:r w:rsidRPr="002331D4">
        <w:t xml:space="preserve"> состоявшимся в соответствии с частью 9 статьей 54.7.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lastRenderedPageBreak/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вторых частей заявок на участие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участниках Конкурса, заявки которых на участие в Конкурсе были рассмотрены;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В течение одного часа с момента получения протокола рассмотрения и оценки вторых частей заявок на участие </w:t>
      </w:r>
      <w:proofErr w:type="gramStart"/>
      <w:r w:rsidRPr="002331D4">
        <w:t>в  Конкурсе</w:t>
      </w:r>
      <w:proofErr w:type="gramEnd"/>
      <w:r w:rsidRPr="002331D4">
        <w:t xml:space="preserve">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случае,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несостоявшимся.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</w:t>
      </w:r>
      <w:r w:rsidRPr="002331D4">
        <w:lastRenderedPageBreak/>
        <w:t>участие в Конкурсе не осуществляется в случае признания конкурса не состоявшимся в соответствии с частью 9 статьей 54.7. Закона.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 должен содержать информацию: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об участниках Конкурса, заявки на участие в Конкурсе которых были рассмотрены;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Конкурсе которого присвоен первый номер.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электронной площадки заказчику.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за исключением участника Конкурса, заявка на участие в Конкурсе которого получила первый порядковый номер в соответствии с протоколом подведения итогов Конкурса, указанным в части 12 статьей 54.7. Закона, вправе отозвать заявку на участие в Конкурсе, направив уведомление об этом оператору электронной </w:t>
      </w:r>
      <w:r w:rsidRPr="002331D4">
        <w:lastRenderedPageBreak/>
        <w:t>площадки, с момента размещения указанного протокола в единой информационной системе.</w:t>
      </w:r>
    </w:p>
    <w:p w:rsidR="00696852" w:rsidRPr="002331D4" w:rsidRDefault="00696852" w:rsidP="00696852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696852" w:rsidRDefault="00696852" w:rsidP="00906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6598" w:rsidRPr="002331D4" w:rsidRDefault="00906598" w:rsidP="00906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906598" w:rsidRDefault="00906598" w:rsidP="00906598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906598" w:rsidRDefault="00906598" w:rsidP="0090659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66F0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875"/>
        <w:gridCol w:w="1886"/>
        <w:gridCol w:w="1305"/>
        <w:gridCol w:w="1612"/>
        <w:gridCol w:w="1533"/>
      </w:tblGrid>
      <w:tr w:rsidR="00906598" w:rsidRPr="002331D4" w:rsidTr="00AC535D">
        <w:trPr>
          <w:cantSplit/>
        </w:trPr>
        <w:tc>
          <w:tcPr>
            <w:tcW w:w="0" w:type="auto"/>
            <w:textDirection w:val="btLr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Значимость критерия в (%)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906598" w:rsidRPr="002331D4" w:rsidTr="00AC535D">
        <w:trPr>
          <w:cantSplit/>
        </w:trPr>
        <w:tc>
          <w:tcPr>
            <w:tcW w:w="0" w:type="auto"/>
            <w:gridSpan w:val="6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906598" w:rsidRPr="002331D4" w:rsidTr="00AC535D"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0,70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Ra</w:t>
            </w:r>
          </w:p>
        </w:tc>
      </w:tr>
      <w:tr w:rsidR="00906598" w:rsidRPr="002331D4" w:rsidTr="00AC535D">
        <w:tc>
          <w:tcPr>
            <w:tcW w:w="0" w:type="auto"/>
            <w:gridSpan w:val="6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Нестоимостные критерии оценки</w:t>
            </w:r>
          </w:p>
        </w:tc>
      </w:tr>
      <w:tr w:rsidR="00906598" w:rsidRPr="002331D4" w:rsidTr="00AC535D">
        <w:tc>
          <w:tcPr>
            <w:tcW w:w="0" w:type="auto"/>
            <w:vMerge w:val="restart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Rb</w:t>
            </w:r>
          </w:p>
        </w:tc>
      </w:tr>
      <w:tr w:rsidR="00906598" w:rsidRPr="002331D4" w:rsidTr="00AC535D">
        <w:tc>
          <w:tcPr>
            <w:tcW w:w="0" w:type="auto"/>
            <w:vMerge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0,40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2331D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06598" w:rsidRPr="002331D4" w:rsidTr="00AC535D">
        <w:tc>
          <w:tcPr>
            <w:tcW w:w="0" w:type="auto"/>
            <w:vMerge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b2</w:t>
            </w:r>
          </w:p>
        </w:tc>
      </w:tr>
      <w:tr w:rsidR="00906598" w:rsidRPr="002331D4" w:rsidTr="00AC535D">
        <w:tc>
          <w:tcPr>
            <w:tcW w:w="0" w:type="auto"/>
            <w:gridSpan w:val="2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906598" w:rsidRPr="002331D4" w:rsidRDefault="00906598" w:rsidP="00AC535D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b/>
          <w:sz w:val="10"/>
          <w:szCs w:val="10"/>
        </w:rPr>
      </w:pP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1. Цена контракта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Величина значимости критерия - 70 %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Коэффициент значимости критерия оценки - 0,7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Оценка критерия (баллы): - 100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а) в случае если Ц</w:t>
      </w:r>
      <w:proofErr w:type="gramStart"/>
      <w:r w:rsidRPr="002331D4">
        <w:rPr>
          <w:sz w:val="22"/>
          <w:szCs w:val="22"/>
          <w:vertAlign w:val="subscript"/>
        </w:rPr>
        <w:t>min</w:t>
      </w:r>
      <w:r w:rsidRPr="002331D4">
        <w:rPr>
          <w:sz w:val="22"/>
          <w:szCs w:val="22"/>
        </w:rPr>
        <w:t xml:space="preserve"> &gt;</w:t>
      </w:r>
      <w:proofErr w:type="gramEnd"/>
      <w:r w:rsidRPr="002331D4">
        <w:rPr>
          <w:sz w:val="22"/>
          <w:szCs w:val="22"/>
        </w:rPr>
        <w:t xml:space="preserve"> 0,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= Ц</w:t>
      </w:r>
      <w:r w:rsidRPr="002331D4">
        <w:rPr>
          <w:sz w:val="22"/>
          <w:szCs w:val="22"/>
          <w:vertAlign w:val="subscript"/>
        </w:rPr>
        <w:t>min</w:t>
      </w:r>
      <w:r w:rsidRPr="002331D4">
        <w:rPr>
          <w:sz w:val="22"/>
          <w:szCs w:val="22"/>
        </w:rPr>
        <w:t xml:space="preserve"> / Ц</w:t>
      </w:r>
      <w:proofErr w:type="gramStart"/>
      <w:r w:rsidRPr="002331D4">
        <w:rPr>
          <w:sz w:val="22"/>
          <w:szCs w:val="22"/>
          <w:vertAlign w:val="subscript"/>
        </w:rPr>
        <w:t xml:space="preserve">i </w:t>
      </w:r>
      <w:r w:rsidRPr="002331D4">
        <w:rPr>
          <w:sz w:val="22"/>
          <w:szCs w:val="22"/>
        </w:rPr>
        <w:t xml:space="preserve"> х</w:t>
      </w:r>
      <w:proofErr w:type="gramEnd"/>
      <w:r w:rsidRPr="002331D4">
        <w:rPr>
          <w:sz w:val="22"/>
          <w:szCs w:val="22"/>
        </w:rPr>
        <w:t xml:space="preserve"> 100,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lastRenderedPageBreak/>
        <w:t>ЦБ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r w:rsidRPr="002331D4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б) в случае если Ц</w:t>
      </w:r>
      <w:r w:rsidRPr="002331D4">
        <w:rPr>
          <w:sz w:val="22"/>
          <w:szCs w:val="22"/>
          <w:vertAlign w:val="subscript"/>
        </w:rPr>
        <w:t>min</w:t>
      </w:r>
      <w:r w:rsidRPr="002331D4">
        <w:rPr>
          <w:sz w:val="22"/>
          <w:szCs w:val="22"/>
        </w:rPr>
        <w:t xml:space="preserve"> </w:t>
      </w:r>
      <w:proofErr w:type="gramStart"/>
      <w:r w:rsidRPr="002331D4">
        <w:rPr>
          <w:sz w:val="22"/>
          <w:szCs w:val="22"/>
        </w:rPr>
        <w:t>&lt; 0</w:t>
      </w:r>
      <w:proofErr w:type="gramEnd"/>
      <w:r w:rsidRPr="002331D4">
        <w:rPr>
          <w:sz w:val="22"/>
          <w:szCs w:val="22"/>
        </w:rPr>
        <w:t>,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= (Ц</w:t>
      </w:r>
      <w:r w:rsidRPr="002331D4">
        <w:rPr>
          <w:sz w:val="22"/>
          <w:szCs w:val="22"/>
          <w:vertAlign w:val="subscript"/>
        </w:rPr>
        <w:t>max</w:t>
      </w:r>
      <w:r w:rsidRPr="002331D4">
        <w:rPr>
          <w:sz w:val="22"/>
          <w:szCs w:val="22"/>
        </w:rPr>
        <w:t xml:space="preserve"> - Ц</w:t>
      </w:r>
      <w:proofErr w:type="gramStart"/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>)/</w:t>
      </w:r>
      <w:proofErr w:type="gramEnd"/>
      <w:r w:rsidRPr="002331D4">
        <w:rPr>
          <w:sz w:val="22"/>
          <w:szCs w:val="22"/>
        </w:rPr>
        <w:t xml:space="preserve"> Ц</w:t>
      </w:r>
      <w:r w:rsidRPr="002331D4">
        <w:rPr>
          <w:sz w:val="22"/>
          <w:szCs w:val="22"/>
          <w:vertAlign w:val="subscript"/>
        </w:rPr>
        <w:t>max</w:t>
      </w:r>
      <w:r w:rsidRPr="002331D4">
        <w:rPr>
          <w:sz w:val="22"/>
          <w:szCs w:val="22"/>
        </w:rPr>
        <w:t xml:space="preserve"> х 100,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 ЦБ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- количество баллов по критерию оценки «цена контракта»;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r w:rsidRPr="002331D4">
        <w:rPr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12"/>
        <w:rPr>
          <w:sz w:val="22"/>
          <w:szCs w:val="22"/>
        </w:rPr>
      </w:pPr>
      <w:r w:rsidRPr="002331D4">
        <w:rPr>
          <w:sz w:val="22"/>
          <w:szCs w:val="22"/>
        </w:rPr>
        <w:t xml:space="preserve">Для расчета рейтинга, присуждаемого </w:t>
      </w:r>
      <w:r w:rsidRPr="002331D4">
        <w:rPr>
          <w:sz w:val="22"/>
          <w:szCs w:val="22"/>
          <w:lang w:val="en-US"/>
        </w:rPr>
        <w:t>i</w:t>
      </w:r>
      <w:r w:rsidRPr="002331D4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2331D4">
        <w:rPr>
          <w:sz w:val="22"/>
          <w:szCs w:val="22"/>
          <w:lang w:val="en-US"/>
        </w:rPr>
        <w:t>i</w:t>
      </w:r>
      <w:r w:rsidRPr="002331D4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>= ЦБ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 xml:space="preserve"> х 0</w:t>
      </w:r>
      <w:proofErr w:type="gramStart"/>
      <w:r w:rsidRPr="002331D4">
        <w:rPr>
          <w:sz w:val="22"/>
          <w:szCs w:val="22"/>
        </w:rPr>
        <w:t>,7</w:t>
      </w:r>
      <w:proofErr w:type="gramEnd"/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 - рейтинг, присуждаемого </w:t>
      </w:r>
      <w:r w:rsidRPr="002331D4">
        <w:rPr>
          <w:sz w:val="22"/>
          <w:szCs w:val="22"/>
          <w:lang w:val="en-US"/>
        </w:rPr>
        <w:t>i</w:t>
      </w:r>
      <w:r w:rsidRPr="002331D4">
        <w:rPr>
          <w:sz w:val="22"/>
          <w:szCs w:val="22"/>
        </w:rPr>
        <w:t>-й заявке по критерию «Цена контракта»;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0,7 - коэффициент значимости указанного критерия.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  <w:r w:rsidRPr="002331D4">
        <w:rPr>
          <w:rFonts w:eastAsia="Calibri"/>
          <w:b/>
          <w:sz w:val="22"/>
          <w:szCs w:val="22"/>
          <w:u w:val="single"/>
        </w:rPr>
        <w:t>Критерий, характеризующийся как нестоимостной критерий оценки: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Величина значимости критерия – 30 %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Коэффициент значимости критерия оценки – 0,30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Применяемые показатели данного критерия: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</w:p>
    <w:p w:rsidR="00906598" w:rsidRPr="002331D4" w:rsidRDefault="00906598" w:rsidP="00906598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2331D4">
        <w:rPr>
          <w:rFonts w:eastAsia="Calibri"/>
          <w:b/>
          <w:spacing w:val="-4"/>
          <w:sz w:val="22"/>
          <w:szCs w:val="22"/>
        </w:rPr>
        <w:t>.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показателя:0,40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906598" w:rsidRPr="00EC38FE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C8241A">
        <w:rPr>
          <w:rFonts w:eastAsia="Calibri"/>
          <w:spacing w:val="-4"/>
          <w:sz w:val="22"/>
          <w:szCs w:val="22"/>
        </w:rPr>
        <w:t xml:space="preserve">не менее </w:t>
      </w:r>
      <w:r>
        <w:rPr>
          <w:rFonts w:eastAsia="Calibri"/>
          <w:spacing w:val="-4"/>
          <w:sz w:val="22"/>
          <w:szCs w:val="22"/>
        </w:rPr>
        <w:t>16</w:t>
      </w:r>
      <w:r w:rsidRPr="00C8241A">
        <w:rPr>
          <w:rFonts w:eastAsia="Calibri"/>
          <w:spacing w:val="-4"/>
          <w:sz w:val="22"/>
          <w:szCs w:val="22"/>
        </w:rPr>
        <w:t>0 штук.</w:t>
      </w:r>
    </w:p>
    <w:p w:rsidR="00906598" w:rsidRPr="00EC38FE" w:rsidRDefault="00906598" w:rsidP="00906598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906598" w:rsidRPr="00EC38FE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</w:t>
      </w:r>
      <w:r w:rsidRPr="00EC38FE">
        <w:rPr>
          <w:sz w:val="22"/>
          <w:szCs w:val="22"/>
        </w:rPr>
        <w:t xml:space="preserve"> </w:t>
      </w:r>
      <w:r w:rsidRPr="00EC38FE">
        <w:rPr>
          <w:rFonts w:eastAsia="Calibri"/>
          <w:spacing w:val="-4"/>
          <w:sz w:val="22"/>
          <w:szCs w:val="22"/>
        </w:rPr>
        <w:t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906598" w:rsidRPr="00EC38FE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</w:t>
      </w:r>
      <w:r w:rsidRPr="002331D4">
        <w:rPr>
          <w:rFonts w:eastAsia="Calibri"/>
          <w:spacing w:val="-4"/>
          <w:sz w:val="22"/>
          <w:szCs w:val="22"/>
        </w:rPr>
        <w:t xml:space="preserve"> (</w:t>
      </w:r>
      <w:r w:rsidRPr="002331D4">
        <w:rPr>
          <w:rFonts w:eastAsia="Calibri"/>
          <w:spacing w:val="-4"/>
          <w:sz w:val="22"/>
          <w:szCs w:val="22"/>
          <w:lang w:val="en-US"/>
        </w:rPr>
        <w:t>b</w:t>
      </w:r>
      <w:r w:rsidRPr="002331D4">
        <w:rPr>
          <w:rFonts w:eastAsia="Calibri"/>
          <w:spacing w:val="-4"/>
          <w:sz w:val="22"/>
          <w:szCs w:val="22"/>
        </w:rPr>
        <w:t>1), определяется по формуле: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1 = КЗ х 100 х (К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>/К</w:t>
      </w:r>
      <w:r w:rsidRPr="002331D4">
        <w:rPr>
          <w:sz w:val="22"/>
          <w:szCs w:val="22"/>
          <w:vertAlign w:val="subscript"/>
        </w:rPr>
        <w:t>max</w:t>
      </w:r>
      <w:r w:rsidRPr="002331D4">
        <w:rPr>
          <w:sz w:val="22"/>
          <w:szCs w:val="22"/>
        </w:rPr>
        <w:t>),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 xml:space="preserve">где: 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показателя;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i</w:t>
      </w:r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max</w:t>
      </w:r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</w:p>
    <w:p w:rsidR="00906598" w:rsidRPr="002331D4" w:rsidRDefault="00906598" w:rsidP="00906598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lastRenderedPageBreak/>
        <w:t>Коэффициент значимости показателя:0,60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906598" w:rsidRPr="00EC38FE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906598" w:rsidRPr="00EC38FE" w:rsidRDefault="00906598" w:rsidP="00906598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906598" w:rsidRPr="00EC38FE" w:rsidRDefault="00906598" w:rsidP="00906598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</w:t>
      </w:r>
      <w:r w:rsidRPr="00C8241A">
        <w:rPr>
          <w:rFonts w:eastAsia="Calibri"/>
          <w:spacing w:val="-4"/>
          <w:sz w:val="22"/>
          <w:szCs w:val="22"/>
        </w:rPr>
        <w:t xml:space="preserve">менее </w:t>
      </w:r>
      <w:r>
        <w:rPr>
          <w:rFonts w:eastAsia="Calibri"/>
          <w:spacing w:val="-4"/>
          <w:sz w:val="22"/>
          <w:szCs w:val="22"/>
        </w:rPr>
        <w:t>16</w:t>
      </w:r>
      <w:r w:rsidRPr="00C8241A">
        <w:rPr>
          <w:rFonts w:eastAsia="Calibri"/>
          <w:spacing w:val="-4"/>
          <w:sz w:val="22"/>
          <w:szCs w:val="22"/>
        </w:rPr>
        <w:t>0 штук.</w:t>
      </w:r>
    </w:p>
    <w:p w:rsidR="00906598" w:rsidRPr="00EC38FE" w:rsidRDefault="00906598" w:rsidP="00906598">
      <w:pPr>
        <w:widowControl w:val="0"/>
        <w:spacing w:after="0"/>
        <w:ind w:firstLine="601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906598" w:rsidRPr="002331D4" w:rsidRDefault="00906598" w:rsidP="00906598">
      <w:pPr>
        <w:widowControl w:val="0"/>
        <w:spacing w:after="0"/>
        <w:ind w:firstLine="601"/>
        <w:jc w:val="left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 w:rsidRPr="00EC38FE">
        <w:rPr>
          <w:rFonts w:eastAsia="Calibri"/>
          <w:spacing w:val="-4"/>
          <w:sz w:val="22"/>
          <w:szCs w:val="22"/>
          <w:lang w:val="en-US"/>
        </w:rPr>
        <w:t>b</w:t>
      </w:r>
      <w:r w:rsidRPr="00EC38FE">
        <w:rPr>
          <w:rFonts w:eastAsia="Calibri"/>
          <w:spacing w:val="-4"/>
          <w:sz w:val="22"/>
          <w:szCs w:val="22"/>
        </w:rPr>
        <w:t>2), определяется по формуле:</w:t>
      </w:r>
    </w:p>
    <w:p w:rsidR="00906598" w:rsidRPr="002331D4" w:rsidRDefault="00906598" w:rsidP="0090659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2 = КЗ х 100 х (К</w:t>
      </w:r>
      <w:r w:rsidRPr="002331D4">
        <w:rPr>
          <w:sz w:val="22"/>
          <w:szCs w:val="22"/>
          <w:vertAlign w:val="subscript"/>
        </w:rPr>
        <w:t>i</w:t>
      </w:r>
      <w:r w:rsidRPr="002331D4">
        <w:rPr>
          <w:sz w:val="22"/>
          <w:szCs w:val="22"/>
        </w:rPr>
        <w:t>/К</w:t>
      </w:r>
      <w:r w:rsidRPr="002331D4">
        <w:rPr>
          <w:sz w:val="22"/>
          <w:szCs w:val="22"/>
          <w:vertAlign w:val="subscript"/>
        </w:rPr>
        <w:t>max</w:t>
      </w:r>
      <w:r w:rsidRPr="002331D4">
        <w:rPr>
          <w:sz w:val="22"/>
          <w:szCs w:val="22"/>
        </w:rPr>
        <w:t>),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показателя;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i</w:t>
      </w:r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max</w:t>
      </w:r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pacing w:val="-4"/>
          <w:sz w:val="22"/>
          <w:szCs w:val="22"/>
        </w:rPr>
      </w:pP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center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Rb</w:t>
      </w:r>
      <w:r w:rsidRPr="002331D4">
        <w:rPr>
          <w:rFonts w:eastAsia="Calibri"/>
          <w:sz w:val="22"/>
          <w:szCs w:val="22"/>
        </w:rPr>
        <w:t xml:space="preserve">=КЗ </w:t>
      </w:r>
      <w:proofErr w:type="gramStart"/>
      <w:r w:rsidRPr="002331D4">
        <w:rPr>
          <w:rFonts w:eastAsia="Calibri"/>
          <w:sz w:val="22"/>
          <w:szCs w:val="22"/>
        </w:rPr>
        <w:t>х(</w:t>
      </w:r>
      <w:proofErr w:type="gramEnd"/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 +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2)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598" w:rsidRPr="002331D4" w:rsidRDefault="00906598" w:rsidP="00906598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1,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Rb</w:t>
      </w:r>
      <w:r w:rsidRPr="002331D4">
        <w:rPr>
          <w:rFonts w:eastAsia="Calibri"/>
          <w:sz w:val="22"/>
          <w:szCs w:val="22"/>
        </w:rPr>
        <w:t xml:space="preserve"> – рейтинг (количество баллов) </w:t>
      </w:r>
      <w:r w:rsidRPr="002331D4">
        <w:rPr>
          <w:rFonts w:eastAsia="Calibri"/>
          <w:sz w:val="22"/>
          <w:szCs w:val="22"/>
          <w:lang w:val="en-US"/>
        </w:rPr>
        <w:t>i</w:t>
      </w:r>
      <w:r w:rsidRPr="002331D4">
        <w:rPr>
          <w:rFonts w:eastAsia="Calibri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</w:p>
    <w:p w:rsidR="00906598" w:rsidRPr="002331D4" w:rsidRDefault="00906598" w:rsidP="00906598">
      <w:pPr>
        <w:widowControl w:val="0"/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Расчет итогового рейтинга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 xml:space="preserve"> = </w:t>
      </w: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+ </w:t>
      </w:r>
      <w:r w:rsidRPr="002331D4">
        <w:rPr>
          <w:rFonts w:eastAsia="Calibri"/>
          <w:sz w:val="22"/>
          <w:szCs w:val="22"/>
          <w:lang w:val="en-US"/>
        </w:rPr>
        <w:t>Rb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>-</w:t>
      </w:r>
      <w:r w:rsidRPr="002331D4">
        <w:rPr>
          <w:rFonts w:eastAsia="Calibri"/>
          <w:sz w:val="22"/>
          <w:szCs w:val="22"/>
          <w:vertAlign w:val="subscript"/>
        </w:rPr>
        <w:t xml:space="preserve"> </w:t>
      </w:r>
      <w:r w:rsidRPr="002331D4">
        <w:rPr>
          <w:rFonts w:eastAsia="Calibri"/>
          <w:sz w:val="22"/>
          <w:szCs w:val="22"/>
        </w:rPr>
        <w:t xml:space="preserve">итоговый рейтинг, присуждаемый </w:t>
      </w:r>
      <w:r w:rsidRPr="002331D4">
        <w:rPr>
          <w:rFonts w:eastAsia="Calibri"/>
          <w:sz w:val="22"/>
          <w:szCs w:val="22"/>
          <w:lang w:val="en-US"/>
        </w:rPr>
        <w:t>i</w:t>
      </w:r>
      <w:r w:rsidRPr="002331D4">
        <w:rPr>
          <w:rFonts w:eastAsia="Calibri"/>
          <w:sz w:val="22"/>
          <w:szCs w:val="22"/>
        </w:rPr>
        <w:t xml:space="preserve"> –ой заявке;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– рейтинг, присуждаемый </w:t>
      </w:r>
      <w:r w:rsidRPr="002331D4">
        <w:rPr>
          <w:rFonts w:eastAsia="Calibri"/>
          <w:sz w:val="22"/>
          <w:szCs w:val="22"/>
          <w:lang w:val="en-US"/>
        </w:rPr>
        <w:t>i</w:t>
      </w:r>
      <w:r w:rsidRPr="002331D4">
        <w:rPr>
          <w:rFonts w:eastAsia="Calibri"/>
          <w:sz w:val="22"/>
          <w:szCs w:val="22"/>
        </w:rPr>
        <w:t>–ой заявке по критерию «цена контракта»;</w:t>
      </w:r>
    </w:p>
    <w:p w:rsidR="00906598" w:rsidRPr="002331D4" w:rsidRDefault="00906598" w:rsidP="00906598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Rb</w:t>
      </w:r>
      <w:r w:rsidRPr="002331D4">
        <w:rPr>
          <w:rFonts w:eastAsia="Calibri"/>
          <w:sz w:val="22"/>
          <w:szCs w:val="22"/>
        </w:rPr>
        <w:t xml:space="preserve"> - рейтинг, присуждаемый </w:t>
      </w:r>
      <w:r w:rsidRPr="002331D4">
        <w:rPr>
          <w:rFonts w:eastAsia="Calibri"/>
          <w:sz w:val="22"/>
          <w:szCs w:val="22"/>
          <w:lang w:val="en-US"/>
        </w:rPr>
        <w:t>i</w:t>
      </w:r>
      <w:r w:rsidRPr="002331D4">
        <w:rPr>
          <w:rFonts w:eastAsia="Calibri"/>
          <w:sz w:val="22"/>
          <w:szCs w:val="22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598" w:rsidRPr="002331D4" w:rsidRDefault="00906598" w:rsidP="00906598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</w:p>
    <w:p w:rsidR="00906598" w:rsidRPr="002331D4" w:rsidRDefault="00906598" w:rsidP="00906598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Порядок оценки заявок по критериям оценки заявок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Для оценки заявок по каждому критерию оценки используется 100–балльная шкала оценки.</w:t>
      </w:r>
    </w:p>
    <w:p w:rsidR="00906598" w:rsidRPr="002331D4" w:rsidRDefault="00906598" w:rsidP="00906598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906598" w:rsidRPr="002331D4" w:rsidRDefault="00906598" w:rsidP="00906598">
      <w:pPr>
        <w:pStyle w:val="a3"/>
        <w:ind w:firstLine="567"/>
        <w:rPr>
          <w:rFonts w:ascii="Times New Roman" w:hAnsi="Times New Roman"/>
        </w:rPr>
      </w:pPr>
      <w:r w:rsidRPr="002331D4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07B00" w:rsidRDefault="00307B00"/>
    <w:sectPr w:rsidR="003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8"/>
    <w:rsid w:val="00307B00"/>
    <w:rsid w:val="00696852"/>
    <w:rsid w:val="009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EE27-0934-41CD-AB28-26BBC76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9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65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59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065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2</cp:revision>
  <dcterms:created xsi:type="dcterms:W3CDTF">2020-04-06T13:47:00Z</dcterms:created>
  <dcterms:modified xsi:type="dcterms:W3CDTF">2020-04-07T10:20:00Z</dcterms:modified>
</cp:coreProperties>
</file>