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BF" w:rsidRPr="001462B7" w:rsidRDefault="00326DBF" w:rsidP="00326DBF">
      <w:pPr>
        <w:jc w:val="center"/>
      </w:pPr>
      <w:r w:rsidRPr="001462B7">
        <w:rPr>
          <w:b/>
          <w:caps/>
          <w:kern w:val="28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326DBF" w:rsidRPr="00C5789C" w:rsidRDefault="00326DBF" w:rsidP="00326DBF">
      <w:pPr>
        <w:spacing w:after="0"/>
        <w:rPr>
          <w:color w:val="FF0000"/>
        </w:rPr>
      </w:pPr>
    </w:p>
    <w:p w:rsidR="00326DBF" w:rsidRPr="00C5789C" w:rsidRDefault="00326DBF" w:rsidP="00326DB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C5789C">
        <w:rPr>
          <w:b/>
          <w:bCs/>
        </w:rPr>
        <w:t xml:space="preserve">Порядок рассмотрения и оценки первых частей заявок на участие в Конкурсе 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По результатам рассмотрения и оценки первых частей заявок на участие в Конкурсе, содержащих информацию, предусмотренную частью 4 статьи 54.4 Закона, конкурсная комиссия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 в порядке и по основаниям, которые предусмотрены частью 3 статьи 54.5.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Участник Конкурса не допускается к участию в Конкурсе в случае: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1) непредоставления информации, предусмотренной частью 4 статьи 54.4 Закона (за исключением случаев, предусмотренных Законом), или предоставления недостоверной информации;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2) несоответствия предложений участника Конкурса требованиям, предусмотренным пунктом 3 части 4 статьи 54.4 Закона и установленным в извещении о проведении Конкурса, Документации;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Отказ в допуске к участию в Конкурсе по основаниям, не предусмотренным частью 3 статьи 54.5. Закона, не допускается.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Конкурсе,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Конкурсе. Указанный протокол должен содержать информацию: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1) о месте, дате, времени рассмотрения и оценки первых частей заявок на участие в Конкурсе;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2) об идентификационных номерах заявок на участие в Конкурсе;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3) о допуске участника закупки, подавшего заявку на участие в Конкурсе, и признании его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Документации, которым не соответствует заявка на участие в Конкурсе данного участника, и положений заявки на участие в Конкурсе, которые не соответствуют требованиям, установленным Документацией;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4) о решении каждого присутствующего члена конкурсной комиссии в отношении каждого участника Конкурса о допуске к участию в Конкурсе и признании его участником Конкурса или об отказе в допуске к участию в Конкурсе.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Протокол рассмотрения и оценки первых частей заявок на участие в Конкурсе не позднее даты окончания срока рассмотрения и оценки первых частей заявок на участие в Конкурсе направляется заказчиком оператору электронной площадки.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В случае,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Конкурсе всех участников закупки, подавших заявки на участие в нем, или о признании только одного участника закупки, подавшего заявку на участие в Конкурсе, его участником, Конкурс признается несостоявшимся. В протокол рассмотрения и оценки первых частей заявок на участие в Конкурсе вносится информация о признании Конкурса несостоявшимся.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lastRenderedPageBreak/>
        <w:t>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оператор электронной площадки обязан направить каждому участнику Конкурса, подавшему заявку на участие в Конкурсе, информацию: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1) о решении, принятом в отношении заявки, поданной участником Конкурса, в том числе о допуске участника закупки, подавшего заявку на участие в Конкурсе, к участию в Конкурсе и признании его участником Конкурса или об отказе в допуске к участию в Конкурсе, с обоснованием этого решения, предусмотренным пунктом 3 части 6 статьи 54.5 Закона;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2) о наиболее низкой цене контракта, предложенной участником Конкурса, допущенным к участию в Конкурсе, без указания сведений об этом участнике;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3) о наличии среди предложений участников Конкурса, допущенных к участию в таком конкурсе, предложений о поставке товара российского происхождения в случае, если Документацией установлены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Закона, без указания сведений об этих участниках;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4) о дате и времени начала проведения процедуры подачи окончательных предложений о цене контракта.</w:t>
      </w:r>
    </w:p>
    <w:p w:rsidR="00326DBF" w:rsidRPr="005716EF" w:rsidRDefault="00326DBF" w:rsidP="00326DBF">
      <w:pPr>
        <w:autoSpaceDE w:val="0"/>
        <w:autoSpaceDN w:val="0"/>
        <w:adjustRightInd w:val="0"/>
        <w:spacing w:after="0"/>
        <w:ind w:firstLine="567"/>
        <w:outlineLvl w:val="0"/>
        <w:rPr>
          <w:sz w:val="10"/>
          <w:szCs w:val="10"/>
        </w:rPr>
      </w:pP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  <w:rPr>
          <w:b/>
        </w:rPr>
      </w:pPr>
      <w:r w:rsidRPr="00C5789C">
        <w:rPr>
          <w:b/>
        </w:rPr>
        <w:t xml:space="preserve">Порядок рассмотрения и оценки вторых частей заявок на участие в Конкурсе </w:t>
      </w:r>
    </w:p>
    <w:p w:rsidR="00326DBF" w:rsidRPr="005716EF" w:rsidRDefault="00326DBF" w:rsidP="00326DBF">
      <w:pPr>
        <w:autoSpaceDE w:val="0"/>
        <w:autoSpaceDN w:val="0"/>
        <w:adjustRightInd w:val="0"/>
        <w:spacing w:after="0"/>
        <w:ind w:firstLine="567"/>
        <w:outlineLvl w:val="0"/>
        <w:rPr>
          <w:sz w:val="10"/>
          <w:szCs w:val="10"/>
        </w:rPr>
      </w:pP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В течение одного часа с момента формирования протокола подачи окончательных предложений, оператор электронной площадки направляет заказчику вторые части заявок на участие в Конкурсе, поданные участниками Конкурса, а также документы и информацию этих участников, предусмотренные частью 11 статьи 24.1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Конкурсной комиссией на основании результатов рассмотрения вторых частей заявок, документов и информации, предусмотренных частью 11 статьи 24.1 Закона, принимается решение о соответствии или о несоответствии заявки на участие в Конкурсе требованиям, установленным Документацией, в порядке и по основаниям, которые предусмотрены статьей 54.7.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Заявка на участие в Конкурсе признается не соответствующей требованиям, установленным Документацией: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1) в случае непредставления документов и информации, предусмотренных пунктами 1 - 3, 7 части 6 статьи 54.4 Закона, либо несоответствия указанных документов и информации требованиям, установленным Документацией;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2) в случае наличия в документах и информации, предусмотренных частью 11 статьи 24.1, частями 4 и 6 статьи 54.4 Закона, недостоверной информации на дату и время рассмотрения вторых частей заявок на участие в Конкурсе;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3) в случае несоответствия участника Конкурса требованиям, установленным Документацией в соответствии с частью 1, частями 1.1 и 2.1 (при наличии таких требований) статьи 31 Закона;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4) в случаях, предусмотренных нормативными правовыми актами, принятыми в соответствии со статьей 14 Закона;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5) в случае непредставления документов, предусмотренных пунктом 5 части 6 статьи 54.4 Закона, при осуществлении закупки товаров, работ, услуг, в отношении которых установлен запрет, предусмотренный статьей 14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В случае установления недостоверности информации, представленной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 xml:space="preserve">Конкурсная комиссия осуществляет оценку вторых частей заявок на участие в Конкурсе, в отношении которых принято решение о соответствии требованиям, установленным Документацией, для выявления победителя Конкурса на основе критериев, указанных в Документации и относящихся ко второй части заявки (при установлении этих </w:t>
      </w:r>
      <w:r w:rsidRPr="00C5789C">
        <w:lastRenderedPageBreak/>
        <w:t>критериев в Документации). Оценка указанных заявок не осуществляется в случае признания Конкурса не состоявшимся в соответствии с частью 9 статьей 54.7.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1) о месте, дате, времени рассмотрения и оценки вторых частей заявок на участие в Конкурсе;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2) об участниках Конкурса, заявки которых на участие в Конкурсе были рассмотрены;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3) о соответствии или несоответствии заявки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эта заявка, и положений заявки на участие в Конкурсе, которые не соответствуют этим требованиям;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4)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5)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таким критериям, за исключением критерия, указанного в пункте 3 части 1 статьи 32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 xml:space="preserve">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площадки. В течение одного часа с момента получения протокола рассмотрения и оценки вторых частей заявок на участие в Конкурсе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Конкурсе. 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В случае,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требованиям, установленным Документацией, Конкурс признается несостоявшимся. В протокол рассмотрения и оценки вторых частей заявок на участие в Конкурсе вносится информация о признании Конкурса несостоявшимся.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В течение одного часа после размещения в соответствии с частью 8 статьей 54.7. Закона протоколов оператор электронной площадки направляет заказчику протокол подачи окончательных предложений, указанный в части 7 статьи 54.6 Закона, за исключением случая признания конкурса несостоявшимся.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 xml:space="preserve">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Закона, конкурсная комиссия на основании результатов оценки заявок на участие в Конкурсе, содержащихся в протоколе рассмотрения и оценки первых частей заявок на участие в Конкурсе и протоколе рассмотрения и оценки вторых частей заявок на участие в Конкурсе,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 которая поступила ранее других заявок на участие в Конкурсе, содержащих такие же условия. Результаты рассмотрения заявок на участие в Конкурсе фиксируются в протоколе подведения итогов Конкурса, который </w:t>
      </w:r>
      <w:r w:rsidRPr="00C5789C">
        <w:lastRenderedPageBreak/>
        <w:t>подписывается всеми присутствующими на заседании членами комиссии. Оценка заявок на участие в Конкурсе не осуществляется в случае признания конкурса не состоявшимся в соответствии с частью 9 статьей 54.7. Закона.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Протокол подведения итогов Конкурса должен содержать информацию: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1) об участниках Конкурса, заявки на участие в Конкурсе которых были рассмотрены;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2) о допуске участника закупки, подавшего заявку на участие в Конкурсе (с указанием ее идентификационного номера, присвоенного в соответствии с частью 10 статьи 54.4 Закона), к участию в Конкурсе и признании этого участника закупки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заявка на участие в Конкурсе этого участника, и положений заявки на участие в Конкурсе, которые не соответствуют требованиям, установленным Документацией;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3)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Конкурсе;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4) о соответствии или несоответствии заявок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Федерации, Документации, которым не соответствует заявка на участие в Конкурсе, и положений заявки на участие в Конкурсе, которые не соответствуют этим требованиям;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5)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6)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7) о присвоенных заявкам на участие в Конкурсе значениях по каждому из предусмотренных критериев оценки заявок на участие в Конкурсе;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8) о принятом на основании результатов оценки заявок на участие в Конкурсе решении о присвоении этим заявкам порядковых номеров;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Протокол подведения итогов Конкурса, указанный в части 12 статьей 54.7. Закона,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Победителем Конкурса признается его участник, который предложил лучшие условия исполнения контракта на основе критериев, указанных в Документации, и заявке на участие в Конкурсе которого присвоен первый номер.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Любой участник Конкурса, в том числе подавший единственную заявку на участие в Конкурсе, после размещения в единой информационной системе протокола, указанного в части 12 статьей 54.7. Закона, вправе направить оператору электронной площадки в форме электронного документа запрос о даче разъяснений результатов Конкурса. В течение одного часа с момента поступления указанного запроса он направляется оператором электронной площадки заказчику.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 xml:space="preserve">Любой участник Конкурса, за исключением участника Конкурса, заявка на участие в Конкурсе которого получила первый порядковый номер в соответствии с протоколом подведения итогов Конкурса, указанным в части 12 статьей 54.7. Закона, вправе отозвать </w:t>
      </w:r>
      <w:r w:rsidRPr="00C5789C">
        <w:lastRenderedPageBreak/>
        <w:t>заявку на участие в Конкурсе, направив уведомление об этом оператору электронной площадки, с момента размещения указанного протокола в единой информационной системе.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</w:pPr>
      <w:r w:rsidRPr="00C5789C">
        <w:t>Любой участник Конкурса, в том числе подавший единственную заявку на участие в Конкурсе, вправе обжаловать результаты Конкурса в порядке, установленном Законом.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567"/>
        <w:outlineLvl w:val="0"/>
        <w:rPr>
          <w:color w:val="FF0000"/>
        </w:rPr>
      </w:pPr>
    </w:p>
    <w:p w:rsidR="00326DBF" w:rsidRPr="00C5789C" w:rsidRDefault="00326DBF" w:rsidP="00326DBF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326DBF" w:rsidRPr="00C5789C" w:rsidRDefault="00326DBF" w:rsidP="00326DBF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326DBF" w:rsidRPr="00C5789C" w:rsidRDefault="00326DBF" w:rsidP="00326DBF">
      <w:pPr>
        <w:autoSpaceDE w:val="0"/>
        <w:autoSpaceDN w:val="0"/>
        <w:adjustRightInd w:val="0"/>
        <w:spacing w:after="0"/>
        <w:ind w:firstLine="715"/>
      </w:pPr>
      <w:r w:rsidRPr="00C5789C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26DBF" w:rsidRPr="00733720" w:rsidRDefault="00326DBF" w:rsidP="00326DBF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326DBF" w:rsidRPr="002B124B" w:rsidTr="00920FB4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326DBF" w:rsidRPr="002B124B" w:rsidTr="00920FB4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326DBF" w:rsidRPr="002B124B" w:rsidTr="00920FB4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26DBF" w:rsidRPr="00C73640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26DBF" w:rsidRPr="00C73640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26DBF" w:rsidRPr="00C73640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326DBF" w:rsidRPr="00C73640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326DBF" w:rsidRPr="002B124B" w:rsidTr="00920FB4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326DBF" w:rsidRPr="002B124B" w:rsidTr="00920FB4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326DBF" w:rsidRPr="002B124B" w:rsidRDefault="00326DBF" w:rsidP="00920FB4">
            <w:pPr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26DBF" w:rsidRPr="0039214F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  <w:lang w:val="en-US"/>
              </w:rPr>
              <w:t>Rb</w:t>
            </w:r>
          </w:p>
        </w:tc>
      </w:tr>
      <w:tr w:rsidR="00326DBF" w:rsidRPr="002B124B" w:rsidTr="00920FB4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26DBF" w:rsidRPr="000C7436" w:rsidRDefault="00326DBF" w:rsidP="00920FB4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326DBF" w:rsidRPr="002B124B" w:rsidTr="00920FB4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326DBF" w:rsidRPr="000C7436" w:rsidRDefault="00326DBF" w:rsidP="00920FB4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326DBF" w:rsidRPr="002B124B" w:rsidTr="00920FB4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6DBF" w:rsidRPr="002B124B" w:rsidRDefault="00326DBF" w:rsidP="00920FB4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6DBF" w:rsidRPr="002B124B" w:rsidRDefault="00326DBF" w:rsidP="00920FB4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326DBF" w:rsidRDefault="00326DBF" w:rsidP="00326DBF">
      <w:pPr>
        <w:snapToGrid w:val="0"/>
        <w:spacing w:after="0"/>
        <w:rPr>
          <w:b/>
        </w:rPr>
      </w:pPr>
    </w:p>
    <w:p w:rsidR="00326DBF" w:rsidRPr="002B124B" w:rsidRDefault="00326DBF" w:rsidP="00326DBF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326DBF" w:rsidRDefault="00326DBF" w:rsidP="00326DBF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326DBF" w:rsidRPr="002B124B" w:rsidRDefault="00326DBF" w:rsidP="00326DBF">
      <w:pPr>
        <w:snapToGrid w:val="0"/>
        <w:spacing w:after="0"/>
        <w:ind w:firstLine="709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326DBF" w:rsidRPr="002B124B" w:rsidRDefault="00326DBF" w:rsidP="00326D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326DBF" w:rsidRPr="002B124B" w:rsidRDefault="00326DBF" w:rsidP="00326D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326DBF" w:rsidRPr="002B124B" w:rsidRDefault="00326DBF" w:rsidP="00326D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744EBCE3" wp14:editId="0BB13E50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326DBF" w:rsidRPr="002B124B" w:rsidRDefault="00326DBF" w:rsidP="00326DBF">
      <w:pPr>
        <w:spacing w:after="0"/>
        <w:ind w:firstLine="709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9B041A1" wp14:editId="69D28AAA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326DBF" w:rsidRPr="002B124B" w:rsidRDefault="00326DBF" w:rsidP="00326DBF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D1E790B" wp14:editId="25167A4F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326DBF" w:rsidRPr="002B124B" w:rsidRDefault="00326DBF" w:rsidP="00326DBF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2B124B">
        <w:rPr>
          <w:color w:val="000000"/>
        </w:rPr>
        <w:lastRenderedPageBreak/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6A5EDDF9" wp14:editId="547678EA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0099295" wp14:editId="6A493558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15905B4B" wp14:editId="5E0B1C6B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326DBF" w:rsidRPr="002B124B" w:rsidRDefault="00326DBF" w:rsidP="00326DBF">
      <w:pPr>
        <w:spacing w:after="0"/>
        <w:ind w:firstLine="709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B4E1C58" wp14:editId="2EA25641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326DBF" w:rsidRPr="002B124B" w:rsidRDefault="00326DBF" w:rsidP="00326DBF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4D3BFE0" wp14:editId="6A74BA0E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326DBF" w:rsidRPr="002B124B" w:rsidRDefault="00326DBF" w:rsidP="00326DBF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326DBF" w:rsidRPr="002B124B" w:rsidRDefault="00326DBF" w:rsidP="00326DBF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1B12A872" wp14:editId="35D4CC78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326DBF" w:rsidRPr="002B124B" w:rsidRDefault="00326DBF" w:rsidP="00326DBF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FB4F421" wp14:editId="1C067C58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326DBF" w:rsidRPr="002B124B" w:rsidRDefault="00326DBF" w:rsidP="00326DBF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FDCF417" wp14:editId="1A8CF212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326DBF" w:rsidRPr="002B124B" w:rsidRDefault="00326DBF" w:rsidP="00326DBF">
      <w:pPr>
        <w:spacing w:after="0"/>
        <w:ind w:firstLine="709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26DBF" w:rsidRPr="00C5789C" w:rsidRDefault="00326DBF" w:rsidP="00326DBF">
      <w:pPr>
        <w:spacing w:after="0"/>
        <w:jc w:val="center"/>
        <w:rPr>
          <w:b/>
          <w:sz w:val="20"/>
          <w:szCs w:val="20"/>
        </w:rPr>
      </w:pPr>
    </w:p>
    <w:p w:rsidR="00326DBF" w:rsidRPr="002B124B" w:rsidRDefault="00326DBF" w:rsidP="00326DBF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r w:rsidRPr="002B124B">
        <w:rPr>
          <w:b/>
          <w:sz w:val="28"/>
          <w:szCs w:val="28"/>
          <w:lang w:val="en-US"/>
        </w:rPr>
        <w:t>i</w:t>
      </w:r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326DBF" w:rsidRPr="002B124B" w:rsidRDefault="00326DBF" w:rsidP="00326DBF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326DBF" w:rsidRPr="002B124B" w:rsidRDefault="00326DBF" w:rsidP="00326DBF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326DBF" w:rsidRDefault="00326DBF" w:rsidP="00326DBF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r w:rsidRPr="002B124B">
        <w:rPr>
          <w:color w:val="000000"/>
          <w:lang w:val="en-US"/>
        </w:rPr>
        <w:t>i</w:t>
      </w:r>
      <w:r w:rsidRPr="002B124B">
        <w:rPr>
          <w:color w:val="000000"/>
        </w:rPr>
        <w:t>-й заявке по критерию «Цена контракта».</w:t>
      </w:r>
    </w:p>
    <w:p w:rsidR="00326DBF" w:rsidRPr="009037D7" w:rsidRDefault="00326DBF" w:rsidP="00326DBF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326DBF" w:rsidRPr="002B124B" w:rsidRDefault="00326DBF" w:rsidP="00326DBF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26DBF" w:rsidRPr="002B124B" w:rsidRDefault="00326DBF" w:rsidP="00326D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326DBF" w:rsidRDefault="00326DBF" w:rsidP="00326DBF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326DBF" w:rsidRPr="00C5789C" w:rsidRDefault="00326DBF" w:rsidP="00326DBF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326DBF" w:rsidRPr="002B124B" w:rsidRDefault="00326DBF" w:rsidP="00326DBF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326DBF" w:rsidRPr="00037262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>
        <w:t>Наличие у участника закупки опыта по успешному выполнению работ сопоставимого характера и объема</w:t>
      </w:r>
      <w:r w:rsidRPr="00316DBD">
        <w:t>. Оценивается объем выполненных работ (а именно выполнение работ по изготовлению протезов нижних конечностей для инвалидов),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Pr="00316DBD">
        <w:rPr>
          <w:b/>
        </w:rPr>
        <w:t>нижних</w:t>
      </w:r>
      <w:r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</w:t>
      </w:r>
      <w:r w:rsidRPr="00037262">
        <w:t>настоящем конкурсе, без нарушения сроков и иных условий контракта по вине участника.</w:t>
      </w:r>
    </w:p>
    <w:p w:rsidR="00326DBF" w:rsidRPr="00037262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037262">
        <w:t>При этом количество предоставленных протезов в каждом контракте должно быть не менее 3 штук.</w:t>
      </w:r>
    </w:p>
    <w:p w:rsidR="00326DBF" w:rsidRPr="00037262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037262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</w:t>
      </w:r>
      <w:r w:rsidRPr="00037262">
        <w:lastRenderedPageBreak/>
        <w:t xml:space="preserve">законами № 44-ФЗ, опубликованных на официальном сайте www.zakupki.gov.ru, содержащих сведения об объеме выполненных работ. </w:t>
      </w:r>
    </w:p>
    <w:p w:rsidR="00326DBF" w:rsidRPr="00037262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0372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26DBF" w:rsidRPr="00037262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037262">
        <w:rPr>
          <w:b/>
        </w:rPr>
        <w:t>Данный показатель рассчитывается следующим образом:</w:t>
      </w:r>
    </w:p>
    <w:p w:rsidR="00326DBF" w:rsidRPr="00037262" w:rsidRDefault="00326DBF" w:rsidP="00326DBF">
      <w:pPr>
        <w:autoSpaceDE w:val="0"/>
        <w:autoSpaceDN w:val="0"/>
        <w:spacing w:after="0"/>
        <w:ind w:firstLine="709"/>
      </w:pPr>
      <w:r w:rsidRPr="00037262">
        <w:t>Предельное необходимое максимальное значение показателя – 15 штук.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037262">
        <w:t xml:space="preserve">Количество баллов, присуждаемых по критерию оценки (показателю), определяется </w:t>
      </w:r>
      <w:r w:rsidRPr="002B124B">
        <w:t>по формуле: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t>а) в случае, если</w:t>
      </w:r>
      <w:r w:rsidRPr="002B124B">
        <w:rPr>
          <w:b/>
        </w:rPr>
        <w:t xml:space="preserve"> </w:t>
      </w:r>
      <w:r w:rsidRPr="002B124B">
        <w:t>К</w:t>
      </w:r>
      <w:r w:rsidRPr="002B124B">
        <w:rPr>
          <w:vertAlign w:val="subscript"/>
        </w:rPr>
        <w:t>max</w:t>
      </w:r>
      <w:r w:rsidRPr="002B124B">
        <w:t xml:space="preserve"> &lt; К</w:t>
      </w:r>
      <w:r w:rsidRPr="002B124B">
        <w:rPr>
          <w:vertAlign w:val="superscript"/>
        </w:rPr>
        <w:t xml:space="preserve">пред </w:t>
      </w:r>
      <w:r w:rsidRPr="002B124B">
        <w:t>, - по формуле:</w:t>
      </w:r>
    </w:p>
    <w:p w:rsidR="00326DBF" w:rsidRPr="002B124B" w:rsidRDefault="00326DBF" w:rsidP="00326D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t xml:space="preserve">б) в случае, если </w:t>
      </w:r>
      <w:r w:rsidRPr="002B124B">
        <w:rPr>
          <w:noProof/>
          <w:position w:val="-12"/>
        </w:rPr>
        <w:drawing>
          <wp:inline distT="0" distB="0" distL="0" distR="0" wp14:anchorId="2C2F5C9B" wp14:editId="30006566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t>, - по формуле:</w:t>
      </w:r>
    </w:p>
    <w:p w:rsidR="00326DBF" w:rsidRPr="002B124B" w:rsidRDefault="00326DBF" w:rsidP="00326D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26DBF" w:rsidRPr="002B124B" w:rsidRDefault="00326DBF" w:rsidP="00326DBF">
      <w:pPr>
        <w:autoSpaceDE w:val="0"/>
        <w:autoSpaceDN w:val="0"/>
      </w:pPr>
      <w:r w:rsidRPr="002B124B">
        <w:t>где:</w:t>
      </w:r>
    </w:p>
    <w:p w:rsidR="00326DBF" w:rsidRPr="002B124B" w:rsidRDefault="00326DBF" w:rsidP="00326DBF">
      <w:pPr>
        <w:autoSpaceDE w:val="0"/>
        <w:autoSpaceDN w:val="0"/>
      </w:pPr>
      <w:r w:rsidRPr="002B124B">
        <w:t>КЗ - коэффициент значимости показателя.</w:t>
      </w:r>
    </w:p>
    <w:p w:rsidR="00326DBF" w:rsidRPr="002B124B" w:rsidRDefault="00326DBF" w:rsidP="00326DB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26DBF" w:rsidRPr="002B124B" w:rsidRDefault="00326DBF" w:rsidP="00326DB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326DBF" w:rsidRDefault="00326DBF" w:rsidP="00326DBF">
      <w:pPr>
        <w:autoSpaceDE w:val="0"/>
        <w:autoSpaceDN w:val="0"/>
      </w:pPr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326DBF" w:rsidRPr="00D50C97" w:rsidRDefault="00326DBF" w:rsidP="00326DBF">
      <w:pPr>
        <w:autoSpaceDE w:val="0"/>
        <w:autoSpaceDN w:val="0"/>
        <w:spacing w:after="0"/>
        <w:rPr>
          <w:b/>
          <w:sz w:val="10"/>
          <w:szCs w:val="10"/>
        </w:rPr>
      </w:pPr>
    </w:p>
    <w:p w:rsidR="00326DBF" w:rsidRPr="002B124B" w:rsidRDefault="00326DBF" w:rsidP="00326DBF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326DBF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>
        <w:t>Наличие у участника закупки опыта по успешному выполнению работ сопоставимого характера и объема</w:t>
      </w:r>
      <w:r w:rsidRPr="00424190">
        <w:t>. Оценивается суммарный объем выполненных работ</w:t>
      </w:r>
      <w:r>
        <w:t xml:space="preserve"> (</w:t>
      </w:r>
      <w:r w:rsidRPr="00316DBD">
        <w:t>а именно выполнение работ по изготовлению протезов нижних к</w:t>
      </w:r>
      <w:r>
        <w:t>онечностей для инвалидов</w:t>
      </w:r>
      <w:r w:rsidRPr="00316DBD">
        <w:t>),</w:t>
      </w:r>
      <w:r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 </w:t>
      </w:r>
      <w:r>
        <w:t xml:space="preserve">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326DBF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424190">
        <w:t xml:space="preserve">При этом объем выполненных работ, исчисляемый в рублях, в каждом </w:t>
      </w:r>
      <w:r>
        <w:t xml:space="preserve">контракте должен быть не менее </w:t>
      </w:r>
      <w:r w:rsidRPr="00037262">
        <w:t>1 164 968 (Один миллион сто шестьдесят четыре тысячи девятьсот шестьдесят восемь) рублей 33 копейки</w:t>
      </w:r>
      <w:r w:rsidRPr="00CF5978">
        <w:t>.</w:t>
      </w:r>
    </w:p>
    <w:p w:rsidR="00326DBF" w:rsidRPr="002B124B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326DBF" w:rsidRPr="002B124B" w:rsidRDefault="00326DBF" w:rsidP="00326DBF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26DBF" w:rsidRPr="00C40CB4" w:rsidRDefault="00326DBF" w:rsidP="00326DBF">
      <w:pPr>
        <w:autoSpaceDE w:val="0"/>
        <w:autoSpaceDN w:val="0"/>
        <w:spacing w:after="0"/>
        <w:ind w:firstLine="709"/>
      </w:pPr>
      <w:r w:rsidRPr="00C40CB4">
        <w:t xml:space="preserve">Предельное необходимое максимальное значение </w:t>
      </w:r>
      <w:r w:rsidRPr="00EE7236">
        <w:t>показателя – 5 824</w:t>
      </w:r>
      <w:r>
        <w:t> </w:t>
      </w:r>
      <w:r w:rsidRPr="00EE7236">
        <w:t>841</w:t>
      </w:r>
      <w:r>
        <w:t xml:space="preserve"> (Пять миллионов восемьсот двадцать четыре тысячи восемьсот сорок один) рубль</w:t>
      </w:r>
      <w:r w:rsidRPr="00EE7236">
        <w:t xml:space="preserve"> 65 копеек.</w:t>
      </w:r>
    </w:p>
    <w:p w:rsidR="00326DBF" w:rsidRPr="00365EA3" w:rsidRDefault="00326DBF" w:rsidP="00326DBF">
      <w:pPr>
        <w:autoSpaceDE w:val="0"/>
        <w:autoSpaceDN w:val="0"/>
        <w:spacing w:after="0"/>
        <w:ind w:firstLine="709"/>
      </w:pPr>
      <w:r w:rsidRPr="00C40CB4">
        <w:t>Количество баллов, присуждаемых по критерию оценки (показателю), определяется</w:t>
      </w:r>
      <w:r w:rsidRPr="00365EA3">
        <w:t xml:space="preserve"> по формуле: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t>а) в случае, если</w:t>
      </w:r>
      <w:r w:rsidRPr="002B124B">
        <w:rPr>
          <w:b/>
        </w:rPr>
        <w:t xml:space="preserve"> </w:t>
      </w:r>
      <w:r w:rsidRPr="002B124B">
        <w:t>К</w:t>
      </w:r>
      <w:r w:rsidRPr="002B124B">
        <w:rPr>
          <w:vertAlign w:val="subscript"/>
        </w:rPr>
        <w:t>max</w:t>
      </w:r>
      <w:r w:rsidRPr="002B124B">
        <w:t xml:space="preserve"> &lt; К</w:t>
      </w:r>
      <w:r w:rsidRPr="002B124B">
        <w:rPr>
          <w:vertAlign w:val="superscript"/>
        </w:rPr>
        <w:t xml:space="preserve">пред </w:t>
      </w:r>
      <w:r w:rsidRPr="002B124B">
        <w:t>, - по формуле:</w:t>
      </w:r>
    </w:p>
    <w:p w:rsidR="00326DBF" w:rsidRPr="002B124B" w:rsidRDefault="00326DBF" w:rsidP="00326D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lastRenderedPageBreak/>
        <w:t xml:space="preserve">б) в случае, если </w:t>
      </w:r>
      <w:r w:rsidRPr="002B124B">
        <w:rPr>
          <w:noProof/>
          <w:position w:val="-12"/>
        </w:rPr>
        <w:drawing>
          <wp:inline distT="0" distB="0" distL="0" distR="0" wp14:anchorId="1A3ED1A6" wp14:editId="76FD8DBD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t>, - по формуле:</w:t>
      </w:r>
    </w:p>
    <w:p w:rsidR="00326DBF" w:rsidRPr="002B124B" w:rsidRDefault="00326DBF" w:rsidP="00326D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326DBF" w:rsidRPr="002B124B" w:rsidRDefault="00326DBF" w:rsidP="00326DBF">
      <w:pPr>
        <w:autoSpaceDE w:val="0"/>
        <w:autoSpaceDN w:val="0"/>
      </w:pPr>
      <w:r w:rsidRPr="002B124B">
        <w:t>где:</w:t>
      </w:r>
    </w:p>
    <w:p w:rsidR="00326DBF" w:rsidRPr="002B124B" w:rsidRDefault="00326DBF" w:rsidP="00326DBF">
      <w:pPr>
        <w:autoSpaceDE w:val="0"/>
        <w:autoSpaceDN w:val="0"/>
      </w:pPr>
      <w:r w:rsidRPr="002B124B">
        <w:t>КЗ - коэффициент значимости показателя.</w:t>
      </w:r>
    </w:p>
    <w:p w:rsidR="00326DBF" w:rsidRPr="002B124B" w:rsidRDefault="00326DBF" w:rsidP="00326DB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26DBF" w:rsidRPr="002B124B" w:rsidRDefault="00326DBF" w:rsidP="00326DB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326DBF" w:rsidRDefault="00326DBF" w:rsidP="00326DBF">
      <w:pPr>
        <w:autoSpaceDE w:val="0"/>
        <w:autoSpaceDN w:val="0"/>
      </w:pPr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326DBF" w:rsidRPr="00D50C97" w:rsidRDefault="00326DBF" w:rsidP="00326DBF">
      <w:pPr>
        <w:autoSpaceDE w:val="0"/>
        <w:autoSpaceDN w:val="0"/>
        <w:spacing w:after="0"/>
        <w:rPr>
          <w:b/>
          <w:sz w:val="10"/>
          <w:szCs w:val="10"/>
        </w:rPr>
      </w:pPr>
    </w:p>
    <w:p w:rsidR="00326DBF" w:rsidRPr="002B124B" w:rsidRDefault="00326DBF" w:rsidP="00326DBF">
      <w:pPr>
        <w:keepNext/>
        <w:spacing w:after="0"/>
        <w:jc w:val="center"/>
        <w:rPr>
          <w:b/>
        </w:rPr>
      </w:pPr>
    </w:p>
    <w:p w:rsidR="00326DBF" w:rsidRPr="002B124B" w:rsidRDefault="00326DBF" w:rsidP="00326DBF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326DBF" w:rsidRPr="00D50C97" w:rsidRDefault="00326DBF" w:rsidP="00326DBF">
      <w:pPr>
        <w:keepNext/>
        <w:spacing w:after="0"/>
        <w:jc w:val="center"/>
        <w:rPr>
          <w:sz w:val="10"/>
          <w:szCs w:val="10"/>
        </w:rPr>
      </w:pPr>
    </w:p>
    <w:p w:rsidR="00326DBF" w:rsidRPr="002B124B" w:rsidRDefault="00326DBF" w:rsidP="00326DBF">
      <w:pPr>
        <w:keepNext/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Rb</w:t>
      </w:r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t>где: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26DBF" w:rsidRDefault="00326DBF" w:rsidP="00326DBF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Rb</w:t>
      </w:r>
      <w:r w:rsidRPr="002B124B">
        <w:t xml:space="preserve"> - рейтинг (количество баллов) </w:t>
      </w:r>
      <w:r w:rsidRPr="002B124B">
        <w:rPr>
          <w:lang w:val="en-US"/>
        </w:rPr>
        <w:t>i</w:t>
      </w:r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26DBF" w:rsidRPr="00D50C97" w:rsidRDefault="00326DBF" w:rsidP="00326DBF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326DBF" w:rsidRPr="002B124B" w:rsidRDefault="00326DBF" w:rsidP="00326DBF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326DBF" w:rsidRPr="00820BC3" w:rsidRDefault="00326DBF" w:rsidP="00326DBF">
      <w:pPr>
        <w:autoSpaceDE w:val="0"/>
        <w:autoSpaceDN w:val="0"/>
        <w:spacing w:after="0"/>
        <w:rPr>
          <w:b/>
          <w:sz w:val="10"/>
          <w:szCs w:val="10"/>
        </w:rPr>
      </w:pPr>
    </w:p>
    <w:p w:rsidR="00326DBF" w:rsidRPr="002B124B" w:rsidRDefault="00326DBF" w:rsidP="00326DBF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326DBF" w:rsidRPr="00820BC3" w:rsidRDefault="00326DBF" w:rsidP="00326DBF">
      <w:pPr>
        <w:spacing w:after="0"/>
        <w:jc w:val="center"/>
        <w:outlineLvl w:val="1"/>
        <w:rPr>
          <w:b/>
          <w:sz w:val="10"/>
          <w:szCs w:val="10"/>
        </w:rPr>
      </w:pPr>
    </w:p>
    <w:p w:rsidR="00326DBF" w:rsidRPr="002B124B" w:rsidRDefault="00326DBF" w:rsidP="00326DBF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r w:rsidRPr="002B124B">
        <w:rPr>
          <w:b/>
          <w:sz w:val="28"/>
          <w:szCs w:val="28"/>
          <w:lang w:val="en-US"/>
        </w:rPr>
        <w:t>Rb</w:t>
      </w:r>
    </w:p>
    <w:p w:rsidR="00326DBF" w:rsidRPr="002B124B" w:rsidRDefault="00326DBF" w:rsidP="00326DBF">
      <w:pPr>
        <w:autoSpaceDE w:val="0"/>
        <w:autoSpaceDN w:val="0"/>
        <w:spacing w:after="0"/>
      </w:pPr>
      <w:r w:rsidRPr="002B124B">
        <w:t>где:</w:t>
      </w:r>
    </w:p>
    <w:p w:rsidR="00326DBF" w:rsidRPr="002B124B" w:rsidRDefault="00326DBF" w:rsidP="00326DBF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r w:rsidRPr="002B124B">
        <w:rPr>
          <w:lang w:val="en-US"/>
        </w:rPr>
        <w:t>i</w:t>
      </w:r>
      <w:r w:rsidRPr="002B124B">
        <w:t>-й заявке;</w:t>
      </w:r>
    </w:p>
    <w:p w:rsidR="00326DBF" w:rsidRPr="002B124B" w:rsidRDefault="00326DBF" w:rsidP="00326DBF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r w:rsidRPr="002B124B">
        <w:rPr>
          <w:lang w:val="en-US"/>
        </w:rPr>
        <w:t>i</w:t>
      </w:r>
      <w:r w:rsidRPr="002B124B">
        <w:t>-ой заявке по критерию «Цена контракта»;</w:t>
      </w:r>
    </w:p>
    <w:p w:rsidR="00326DBF" w:rsidRDefault="00326DBF" w:rsidP="00326DBF">
      <w:pPr>
        <w:autoSpaceDE w:val="0"/>
        <w:autoSpaceDN w:val="0"/>
        <w:spacing w:after="0"/>
      </w:pPr>
      <w:r w:rsidRPr="002B124B">
        <w:rPr>
          <w:lang w:val="en-US"/>
        </w:rPr>
        <w:t>Rb</w:t>
      </w:r>
      <w:r w:rsidRPr="002B124B">
        <w:t xml:space="preserve"> - рейтинг, присуждаемый </w:t>
      </w:r>
      <w:r w:rsidRPr="002B124B">
        <w:rPr>
          <w:lang w:val="en-US"/>
        </w:rPr>
        <w:t>i</w:t>
      </w:r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6C59" w:rsidRDefault="000D6C59">
      <w:bookmarkStart w:id="0" w:name="_GoBack"/>
      <w:bookmarkEnd w:id="0"/>
    </w:p>
    <w:sectPr w:rsidR="000D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0D6C59"/>
    <w:rsid w:val="003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3F59-8691-47D1-9C73-384245F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326DBF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326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26D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D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6DBF"/>
  </w:style>
  <w:style w:type="paragraph" w:customStyle="1" w:styleId="centertext">
    <w:name w:val="centertext"/>
    <w:basedOn w:val="a"/>
    <w:rsid w:val="00326DB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1</cp:revision>
  <dcterms:created xsi:type="dcterms:W3CDTF">2020-04-09T12:29:00Z</dcterms:created>
  <dcterms:modified xsi:type="dcterms:W3CDTF">2020-04-09T12:29:00Z</dcterms:modified>
</cp:coreProperties>
</file>