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6758E2">
                    <w:rPr>
                      <w:i/>
                    </w:rPr>
                    <w:t>врачей-неврологов, врачей-травматологов, врачей-ортопедов, врачей-пульмонологов, врачей-</w:t>
                  </w:r>
                  <w:r w:rsidR="007869BA">
                    <w:rPr>
                      <w:i/>
                    </w:rPr>
                    <w:t>кардиологов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травматолог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врач 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врач-невролог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A342E6" w:rsidP="007869BA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bookmarkStart w:id="1" w:name="_GoBack"/>
                  <w:bookmarkEnd w:id="1"/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врач-невролог –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A32735">
                    <w:rPr>
                      <w:rFonts w:ascii="Times New Roman" w:hAnsi="Times New Roman"/>
                      <w:sz w:val="22"/>
                      <w:szCs w:val="24"/>
                    </w:rPr>
                    <w:t>ортопед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E51D11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</w:t>
                  </w:r>
                  <w:r w:rsidR="00960194"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E51D11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E51D11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E51D11"/>
                <w:p w:rsidR="006F4FA6" w:rsidRPr="00542A45" w:rsidRDefault="006F4FA6" w:rsidP="00E51D11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</w:t>
                  </w:r>
                  <w:r w:rsidR="00960194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>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E51D11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9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7D85A1E" wp14:editId="02060486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E51D11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E83111" wp14:editId="55AF2F58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B82F77" wp14:editId="0101C2AC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B95FD2D" wp14:editId="041E8623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E51D11"/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20CA30A" wp14:editId="59D7848F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E51D11"/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53831" wp14:editId="2F498C43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E51D11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E51D11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E51D11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396C5BA" wp14:editId="3A2C2CD0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BC002E6" wp14:editId="203C1B81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E51D11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F7F78F" wp14:editId="0FE0FEAC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E51D11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lastRenderedPageBreak/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E51D11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96B82B" wp14:editId="42241F7D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1735B6"/>
    <w:rsid w:val="001C7781"/>
    <w:rsid w:val="002B43A8"/>
    <w:rsid w:val="00315FAA"/>
    <w:rsid w:val="003F571D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C0D55"/>
    <w:rsid w:val="00BC77D0"/>
    <w:rsid w:val="00BF4B43"/>
    <w:rsid w:val="00C221AF"/>
    <w:rsid w:val="00DD0326"/>
    <w:rsid w:val="00E5033D"/>
    <w:rsid w:val="00E506E5"/>
    <w:rsid w:val="00E51D11"/>
    <w:rsid w:val="00E75037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3.emf"/><Relationship Id="rId5" Type="http://schemas.openxmlformats.org/officeDocument/2006/relationships/settings" Target="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hyperlink" Target="http://zakupki.gov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45E2-3EDE-4AC2-9D8A-E969B4F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18</cp:revision>
  <cp:lastPrinted>2020-02-17T12:11:00Z</cp:lastPrinted>
  <dcterms:created xsi:type="dcterms:W3CDTF">2019-11-27T07:47:00Z</dcterms:created>
  <dcterms:modified xsi:type="dcterms:W3CDTF">2020-02-19T07:54:00Z</dcterms:modified>
</cp:coreProperties>
</file>