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23" w:rsidRDefault="006E6D23" w:rsidP="006E6D23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Раздел </w:t>
      </w:r>
      <w:r>
        <w:rPr>
          <w:b/>
          <w:bCs/>
          <w:kern w:val="2"/>
          <w:sz w:val="28"/>
          <w:szCs w:val="28"/>
          <w:lang w:val="en-US" w:eastAsia="zh-CN"/>
        </w:rPr>
        <w:t>III</w:t>
      </w:r>
      <w:r>
        <w:rPr>
          <w:b/>
          <w:bCs/>
          <w:kern w:val="2"/>
          <w:sz w:val="28"/>
          <w:szCs w:val="28"/>
          <w:lang w:eastAsia="zh-CN"/>
        </w:rPr>
        <w:t xml:space="preserve">. </w:t>
      </w:r>
      <w:r>
        <w:rPr>
          <w:b/>
          <w:lang w:eastAsia="zh-CN"/>
        </w:rPr>
        <w:t>Порядок и критерии оценки заявок на участие в открытом конкурсе  в электронной форме,</w:t>
      </w:r>
      <w:r>
        <w:rPr>
          <w:b/>
        </w:rPr>
        <w:t xml:space="preserve"> величины значимости этих критериев</w:t>
      </w:r>
    </w:p>
    <w:p w:rsidR="006E6D23" w:rsidRDefault="006E6D23" w:rsidP="006E6D23">
      <w:pPr>
        <w:widowControl w:val="0"/>
        <w:suppressAutoHyphens/>
        <w:spacing w:before="240" w:after="60"/>
        <w:jc w:val="center"/>
        <w:outlineLvl w:val="0"/>
        <w:rPr>
          <w:b/>
          <w:iCs/>
        </w:rPr>
      </w:pPr>
      <w:r>
        <w:rPr>
          <w:b/>
          <w:lang w:eastAsia="zh-CN"/>
        </w:rPr>
        <w:t xml:space="preserve">Критерии оценки заявок на участие в открытом конкурсе  в электронной форме на </w:t>
      </w:r>
      <w:r>
        <w:rPr>
          <w:b/>
        </w:rPr>
        <w:t>выполнение работ по изготовлению протезов нижних конечностей для обеспечения инвалидов в 2020 году</w:t>
      </w:r>
      <w:r>
        <w:rPr>
          <w:b/>
          <w:iCs/>
        </w:rPr>
        <w:t xml:space="preserve">   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  <w:rPr>
          <w:b/>
        </w:rPr>
      </w:pP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Оценка заявок на участие в Конкурсе осуществляется с использованием следующих критериев оценки заявок: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а) цена государственного контракта;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Каждому из критериев оценки устанавливается величина значимости критерия оценки, выраженная в процентах: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а) цена государственного контракта – 60%;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Сумма величин значимости всех критериев, составляет 100%.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Коэффициент значимости критерия оценки - это величина значимости критерия оценки деленная на 100.</w:t>
      </w:r>
    </w:p>
    <w:p w:rsidR="006E6D23" w:rsidRDefault="006E6D23" w:rsidP="006E6D23">
      <w:pPr>
        <w:widowControl w:val="0"/>
        <w:snapToGrid w:val="0"/>
        <w:ind w:left="-50" w:right="-94" w:firstLine="709"/>
        <w:contextualSpacing/>
        <w:jc w:val="both"/>
      </w:pPr>
      <w: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6E6D23" w:rsidRDefault="006E6D23" w:rsidP="006E6D23">
      <w:pPr>
        <w:widowControl w:val="0"/>
        <w:ind w:left="-61" w:right="-39" w:firstLine="709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6E6D23" w:rsidTr="006E6D23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Значимость критерия в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6E6D23" w:rsidTr="006E6D23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6E6D23" w:rsidTr="006E6D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6E6D23" w:rsidTr="006E6D23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Нестоимостные критерии оценки</w:t>
            </w:r>
          </w:p>
        </w:tc>
      </w:tr>
      <w:tr w:rsidR="006E6D23" w:rsidTr="006E6D2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Rb</w:t>
            </w:r>
          </w:p>
        </w:tc>
      </w:tr>
      <w:tr w:rsidR="006E6D23" w:rsidTr="006E6D23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2.1.1. Опыт участника закупки по успешному выполнению работ по изготовлению протезов сопоставимого характера и объема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E6D23" w:rsidTr="006E6D23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2.1.2. Опыт участника закупки по успешному выполнению работ по изготовлению протезов сопоставимого характера и объема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3" w:rsidRDefault="006E6D2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6E6D23" w:rsidTr="006E6D2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3" w:rsidRDefault="006E6D2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3" w:rsidRDefault="006E6D2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6E6D23" w:rsidRDefault="006E6D23" w:rsidP="006E6D23">
      <w:pPr>
        <w:widowControl w:val="0"/>
        <w:ind w:left="-61" w:right="-39" w:firstLine="5"/>
        <w:rPr>
          <w:sz w:val="20"/>
          <w:szCs w:val="20"/>
        </w:rPr>
      </w:pPr>
    </w:p>
    <w:p w:rsidR="006E6D23" w:rsidRDefault="006E6D23" w:rsidP="006E6D23">
      <w:pPr>
        <w:widowControl w:val="0"/>
        <w:ind w:left="-61" w:right="-39" w:firstLine="770"/>
        <w:jc w:val="both"/>
        <w:rPr>
          <w:b/>
          <w:i/>
        </w:rPr>
      </w:pPr>
      <w:r>
        <w:rPr>
          <w:b/>
          <w:i/>
        </w:rPr>
        <w:t>Стоимостный критерий оценки</w:t>
      </w:r>
    </w:p>
    <w:p w:rsidR="006E6D23" w:rsidRDefault="006E6D23" w:rsidP="006E6D23">
      <w:pPr>
        <w:widowControl w:val="0"/>
        <w:ind w:left="-61" w:right="-39" w:firstLine="770"/>
        <w:jc w:val="both"/>
        <w:rPr>
          <w:b/>
        </w:rPr>
      </w:pPr>
      <w:r>
        <w:rPr>
          <w:b/>
        </w:rPr>
        <w:t>1. Оценка заявок по критерию «цена государственного контракта»</w:t>
      </w:r>
    </w:p>
    <w:p w:rsidR="006E6D23" w:rsidRDefault="006E6D23" w:rsidP="006E6D23">
      <w:pPr>
        <w:widowControl w:val="0"/>
        <w:ind w:left="-61" w:right="-39" w:firstLine="770"/>
        <w:jc w:val="both"/>
      </w:pPr>
      <w:r>
        <w:t>Величина значимости критерия оценки – 60 %</w:t>
      </w:r>
    </w:p>
    <w:p w:rsidR="006E6D23" w:rsidRDefault="006E6D23" w:rsidP="006E6D23">
      <w:pPr>
        <w:widowControl w:val="0"/>
        <w:ind w:left="-61" w:right="-39" w:firstLine="770"/>
        <w:jc w:val="both"/>
      </w:pPr>
      <w:r>
        <w:t>Коэффициент значимости критерия оценки – 0,6</w:t>
      </w:r>
    </w:p>
    <w:p w:rsidR="006E6D23" w:rsidRDefault="006E6D23" w:rsidP="006E6D23">
      <w:pPr>
        <w:widowControl w:val="0"/>
        <w:ind w:left="-61" w:right="-39" w:firstLine="770"/>
        <w:jc w:val="both"/>
      </w:pPr>
      <w:r>
        <w:t>Оценка критерия (баллы): – 100</w:t>
      </w:r>
    </w:p>
    <w:p w:rsidR="006E6D23" w:rsidRDefault="006E6D23" w:rsidP="006E6D23">
      <w:pPr>
        <w:widowControl w:val="0"/>
        <w:ind w:left="-61" w:right="-39" w:firstLine="770"/>
        <w:jc w:val="both"/>
      </w:pPr>
      <w:r>
        <w:t>Количество баллов, присуждаемых по критерию оценки «цена государственного контракта», определяется по формуле:</w:t>
      </w:r>
    </w:p>
    <w:p w:rsidR="006E6D23" w:rsidRDefault="006E6D23" w:rsidP="006E6D23">
      <w:pPr>
        <w:widowControl w:val="0"/>
        <w:ind w:left="-61" w:right="-39"/>
        <w:rPr>
          <w:sz w:val="20"/>
          <w:szCs w:val="20"/>
          <w:lang w:val="x-none"/>
        </w:rPr>
      </w:pPr>
      <w:r>
        <w:rPr>
          <w:sz w:val="20"/>
          <w:szCs w:val="20"/>
        </w:rPr>
        <w:lastRenderedPageBreak/>
        <w:t xml:space="preserve">а) </w:t>
      </w:r>
      <w:r>
        <w:rPr>
          <w:sz w:val="20"/>
          <w:szCs w:val="20"/>
          <w:lang w:val="x-none"/>
        </w:rPr>
        <w:t xml:space="preserve">в случае если </w:t>
      </w:r>
      <w:r>
        <w:rPr>
          <w:noProof/>
          <w:sz w:val="20"/>
          <w:szCs w:val="20"/>
        </w:rPr>
        <w:drawing>
          <wp:inline distT="0" distB="0" distL="0" distR="0">
            <wp:extent cx="380365" cy="24892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x-none"/>
        </w:rPr>
        <w:t>&gt; 0,</w:t>
      </w:r>
    </w:p>
    <w:p w:rsidR="006E6D23" w:rsidRDefault="006E6D23" w:rsidP="006E6D23">
      <w:pPr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6210" cy="4972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lastRenderedPageBreak/>
        <w:t>где: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r>
        <w:rPr>
          <w:sz w:val="20"/>
          <w:szCs w:val="20"/>
          <w:vertAlign w:val="subscript"/>
          <w:lang w:val="en-US"/>
        </w:rPr>
        <w:t>i</w:t>
      </w:r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0365" cy="24892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9710" cy="24892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 xml:space="preserve">б) в случае если </w:t>
      </w:r>
      <w:r>
        <w:rPr>
          <w:noProof/>
          <w:sz w:val="20"/>
          <w:szCs w:val="20"/>
        </w:rPr>
        <w:drawing>
          <wp:inline distT="0" distB="0" distL="0" distR="0">
            <wp:extent cx="380365" cy="24892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&lt;0,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19300" cy="497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r>
        <w:rPr>
          <w:sz w:val="20"/>
          <w:szCs w:val="20"/>
          <w:vertAlign w:val="subscript"/>
          <w:lang w:val="en-US"/>
        </w:rPr>
        <w:t>i</w:t>
      </w:r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2590" cy="2635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9710" cy="2489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  <w:lang w:val="en-US"/>
        </w:rPr>
        <w:t>Ra</w:t>
      </w:r>
      <w:r>
        <w:rPr>
          <w:sz w:val="20"/>
          <w:szCs w:val="20"/>
        </w:rPr>
        <w:t xml:space="preserve"> = ЦБ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* 0,6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Ra- рейтинг, присуждаемого i-й заявке по критерию "цена государственного контракта";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0,6 – коэффициент значимости указанного критерия.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</w:p>
    <w:p w:rsidR="006E6D23" w:rsidRDefault="006E6D23" w:rsidP="006E6D23">
      <w:pPr>
        <w:keepNext/>
        <w:widowControl w:val="0"/>
        <w:ind w:left="-61" w:right="-39" w:firstLine="770"/>
        <w:jc w:val="both"/>
        <w:rPr>
          <w:b/>
          <w:i/>
        </w:rPr>
      </w:pPr>
      <w:r>
        <w:rPr>
          <w:b/>
          <w:i/>
        </w:rPr>
        <w:t>Нестоимостной критерий оценки:</w:t>
      </w:r>
    </w:p>
    <w:p w:rsidR="006E6D23" w:rsidRDefault="006E6D23" w:rsidP="006E6D23">
      <w:pPr>
        <w:keepNext/>
        <w:widowControl w:val="0"/>
        <w:snapToGrid w:val="0"/>
        <w:ind w:left="-50" w:right="-94" w:firstLine="770"/>
        <w:contextualSpacing/>
        <w:jc w:val="both"/>
        <w:rPr>
          <w:b/>
        </w:rPr>
      </w:pPr>
      <w:r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Величина значимости критерия – 40 %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Коэффициент значимости критерия оценки – 0,40</w:t>
      </w:r>
    </w:p>
    <w:p w:rsidR="006E6D23" w:rsidRDefault="006E6D23" w:rsidP="006E6D23">
      <w:pPr>
        <w:keepNext/>
        <w:widowControl w:val="0"/>
        <w:snapToGrid w:val="0"/>
        <w:ind w:left="-50" w:right="-94" w:firstLine="770"/>
        <w:contextualSpacing/>
        <w:jc w:val="both"/>
      </w:pPr>
      <w: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Применяемые показатели данного критерия оценки: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</w:p>
    <w:p w:rsidR="006E6D23" w:rsidRDefault="006E6D23" w:rsidP="006E6D23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Оценка показателя (баллы): 100 баллов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Коэффициент значимости показателя: 0,40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По данному показателю оценивается: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</w:t>
      </w:r>
      <w:r>
        <w:rPr>
          <w:rFonts w:eastAsia="Calibri"/>
          <w:spacing w:val="-4"/>
        </w:rPr>
        <w:t xml:space="preserve">Оценивается объем выполненных работ (а именно: </w:t>
      </w:r>
      <w:r>
        <w:rPr>
          <w:i/>
        </w:rPr>
        <w:t>выполнение работ по изготовлению протезов нижних конечностей</w:t>
      </w:r>
      <w:r>
        <w:t>), исчисляемый в количестве предоставленных протезов нижних конечностей Получателю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нижних конечностей (в штуках) в каждом контракте должно быть не менее 6 штук.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Данный показатель рассчитывается следующим образом: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Предельное необходимое максимальное значение показателя – 30 штук.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Количество баллов, присуждаемых по показателю (b1), определяется по формуле:</w:t>
      </w:r>
    </w:p>
    <w:p w:rsidR="006E6D23" w:rsidRDefault="006E6D23" w:rsidP="006E6D23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>а) в случае если К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&lt; К</w:t>
      </w:r>
      <w:r>
        <w:rPr>
          <w:sz w:val="22"/>
          <w:szCs w:val="22"/>
          <w:vertAlign w:val="superscript"/>
        </w:rPr>
        <w:t>пред</w:t>
      </w:r>
      <w:r>
        <w:rPr>
          <w:sz w:val="22"/>
          <w:szCs w:val="22"/>
        </w:rPr>
        <w:t xml:space="preserve">, - по формуле: </w:t>
      </w:r>
    </w:p>
    <w:p w:rsidR="006E6D23" w:rsidRDefault="006E6D23" w:rsidP="006E6D23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1 = КЗ x 100 x (К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 / К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>);</w:t>
      </w:r>
    </w:p>
    <w:p w:rsidR="006E6D23" w:rsidRDefault="006E6D23" w:rsidP="006E6D23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б) в случае если </w:t>
      </w:r>
      <w:r>
        <w:rPr>
          <w:noProof/>
          <w:position w:val="-8"/>
          <w:sz w:val="22"/>
          <w:szCs w:val="22"/>
        </w:rPr>
        <w:drawing>
          <wp:inline distT="0" distB="0" distL="0" distR="0">
            <wp:extent cx="753745" cy="2413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- по формуле:</w:t>
      </w:r>
    </w:p>
    <w:p w:rsidR="006E6D23" w:rsidRDefault="006E6D23" w:rsidP="006E6D23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1 = КЗ x 100 x (К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 / К</w:t>
      </w:r>
      <w:r>
        <w:rPr>
          <w:sz w:val="22"/>
          <w:szCs w:val="22"/>
          <w:vertAlign w:val="superscript"/>
        </w:rPr>
        <w:t>пред</w:t>
      </w:r>
      <w:r>
        <w:rPr>
          <w:sz w:val="22"/>
          <w:szCs w:val="22"/>
        </w:rPr>
        <w:t>);</w:t>
      </w:r>
    </w:p>
    <w:p w:rsidR="006E6D23" w:rsidRDefault="006E6D23" w:rsidP="006E6D23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= КЗ x 100,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>КЗ - коэффициент значимости показателя;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r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E6D23" w:rsidRDefault="006E6D23" w:rsidP="006E6D23">
      <w:pPr>
        <w:keepNext/>
        <w:widowControl w:val="0"/>
        <w:ind w:left="-61" w:right="-39" w:firstLine="5"/>
        <w:rPr>
          <w:sz w:val="20"/>
          <w:szCs w:val="20"/>
        </w:rPr>
      </w:pPr>
    </w:p>
    <w:p w:rsidR="006E6D23" w:rsidRDefault="006E6D23" w:rsidP="006E6D23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Оценка показателя (баллы): 100 баллов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Коэффициент значимости показателя: 0,60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По данному показателю оценивается:</w:t>
      </w:r>
    </w:p>
    <w:p w:rsidR="006E6D23" w:rsidRDefault="006E6D23" w:rsidP="006E6D23">
      <w:pPr>
        <w:keepNext/>
        <w:widowControl w:val="0"/>
        <w:ind w:left="-61" w:right="-39" w:firstLine="5"/>
      </w:pPr>
      <w:r>
        <w:t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суммарный объем выполняемых работ (а именно: выполнение работ по изготовлению протезов нижних конечностей)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протезов нижних конечностей) исчисляемый в рублях, в каждом контракте должен быть не менее 1 766 000,00 руб.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Данный показатель рассчитывается следующим образом: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Предельное необходимое максимальное значение показателя – 8 830 000,00 руб.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Количество баллов, присуждаемых по показателю (b2), определяется по формуле: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</w:p>
    <w:p w:rsidR="006E6D23" w:rsidRDefault="006E6D23" w:rsidP="006E6D23">
      <w:pPr>
        <w:keepNext/>
        <w:widowControl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>а) в случае если К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&lt; К</w:t>
      </w:r>
      <w:r>
        <w:rPr>
          <w:sz w:val="22"/>
          <w:szCs w:val="22"/>
          <w:vertAlign w:val="superscript"/>
        </w:rPr>
        <w:t>пред</w:t>
      </w:r>
      <w:r>
        <w:rPr>
          <w:sz w:val="22"/>
          <w:szCs w:val="22"/>
        </w:rPr>
        <w:t xml:space="preserve">, - по формуле: </w:t>
      </w:r>
    </w:p>
    <w:p w:rsidR="006E6D23" w:rsidRDefault="006E6D23" w:rsidP="006E6D23">
      <w:pPr>
        <w:keepNext/>
        <w:widowControl w:val="0"/>
        <w:ind w:left="-61" w:right="-39" w:firstLine="48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 = КЗ x 100 x (К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 / К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>);</w:t>
      </w:r>
    </w:p>
    <w:p w:rsidR="006E6D23" w:rsidRDefault="006E6D23" w:rsidP="006E6D23">
      <w:pPr>
        <w:keepNext/>
        <w:widowControl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 xml:space="preserve">б) в случае если </w:t>
      </w:r>
      <w:r>
        <w:rPr>
          <w:noProof/>
          <w:position w:val="-8"/>
          <w:sz w:val="22"/>
          <w:szCs w:val="22"/>
        </w:rPr>
        <w:drawing>
          <wp:inline distT="0" distB="0" distL="0" distR="0">
            <wp:extent cx="753745" cy="24130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- по формуле:</w:t>
      </w:r>
    </w:p>
    <w:p w:rsidR="006E6D23" w:rsidRDefault="006E6D23" w:rsidP="006E6D23">
      <w:pPr>
        <w:keepNext/>
        <w:widowControl w:val="0"/>
        <w:ind w:left="-61" w:right="-39" w:firstLine="48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 = КЗ x 100 x (К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 / К</w:t>
      </w:r>
      <w:r>
        <w:rPr>
          <w:sz w:val="22"/>
          <w:szCs w:val="22"/>
          <w:vertAlign w:val="superscript"/>
        </w:rPr>
        <w:t>пред</w:t>
      </w:r>
      <w:r>
        <w:rPr>
          <w:sz w:val="22"/>
          <w:szCs w:val="22"/>
        </w:rPr>
        <w:t>);</w:t>
      </w:r>
    </w:p>
    <w:p w:rsidR="006E6D23" w:rsidRDefault="006E6D23" w:rsidP="006E6D23">
      <w:pPr>
        <w:keepNext/>
        <w:widowControl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 xml:space="preserve">при этом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= КЗ x 100,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>КЗ - коэффициент значимости показателя;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r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  <w:vertAlign w:val="subscript"/>
        </w:rPr>
        <w:t>max</w:t>
      </w:r>
      <w:r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E6D23" w:rsidRDefault="006E6D23" w:rsidP="006E6D23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6E6D23" w:rsidRDefault="006E6D23" w:rsidP="006E6D23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Rb = КЗ х (b1 + b2)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где: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lastRenderedPageBreak/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6D23" w:rsidRDefault="006E6D23" w:rsidP="006E6D23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6E6D23" w:rsidRDefault="006E6D23" w:rsidP="006E6D23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6E6D23" w:rsidRDefault="006E6D23" w:rsidP="006E6D23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6E6D23" w:rsidRDefault="006E6D23" w:rsidP="006E6D23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Расчет итогового рейтинга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6E6D23" w:rsidRDefault="006E6D23" w:rsidP="006E6D23">
      <w:pPr>
        <w:keepNext/>
        <w:widowControl w:val="0"/>
        <w:autoSpaceDE w:val="0"/>
        <w:autoSpaceDN w:val="0"/>
        <w:adjustRightInd w:val="0"/>
        <w:ind w:left="-61" w:right="-39" w:firstLine="7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23" w:rsidRDefault="006E6D23" w:rsidP="006E6D2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25pt;height: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" filled="f" stroked="f">
                <v:textbox inset="0,0,0,0">
                  <w:txbxContent>
                    <w:p w:rsidR="006E6D23" w:rsidRDefault="006E6D23" w:rsidP="006E6D23"/>
                  </w:txbxContent>
                </v:textbox>
              </v:rect>
            </w:pict>
          </mc:Fallback>
        </mc:AlternateContent>
      </w:r>
      <w:r>
        <w:rPr>
          <w:lang w:val="en-US"/>
        </w:rPr>
        <w:t>R</w:t>
      </w:r>
      <w:r>
        <w:t xml:space="preserve"> итог = </w:t>
      </w:r>
      <w:r>
        <w:rPr>
          <w:lang w:val="en-US"/>
        </w:rPr>
        <w:t>Ra</w:t>
      </w:r>
      <w:r>
        <w:t xml:space="preserve"> + </w:t>
      </w:r>
      <w:r>
        <w:rPr>
          <w:lang w:val="en-US"/>
        </w:rPr>
        <w:t>Rb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где:</w:t>
      </w:r>
    </w:p>
    <w:p w:rsidR="006E6D23" w:rsidRDefault="006E6D23" w:rsidP="006E6D23">
      <w:pPr>
        <w:keepNext/>
        <w:widowControl w:val="0"/>
        <w:tabs>
          <w:tab w:val="left" w:pos="1243"/>
        </w:tabs>
        <w:ind w:left="-61" w:right="-39" w:firstLine="770"/>
        <w:jc w:val="both"/>
      </w:pPr>
      <w:r>
        <w:rPr>
          <w:lang w:val="en-US"/>
        </w:rPr>
        <w:t>R</w:t>
      </w:r>
      <w:r>
        <w:t xml:space="preserve"> итог – итоговый рейтинг, присуждаемый i-й заявке;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Ra – рейтинг, присуждаемый i-ой заявке по критерию «цена государственного контракта»;</w:t>
      </w:r>
    </w:p>
    <w:p w:rsidR="006E6D23" w:rsidRDefault="006E6D23" w:rsidP="006E6D23">
      <w:pPr>
        <w:keepNext/>
        <w:widowControl w:val="0"/>
        <w:ind w:left="-61" w:right="-39" w:firstLine="770"/>
        <w:jc w:val="both"/>
      </w:pPr>
      <w: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6D23" w:rsidRDefault="006E6D23" w:rsidP="006E6D23">
      <w:pPr>
        <w:keepNext/>
        <w:widowControl w:val="0"/>
        <w:autoSpaceDE w:val="0"/>
        <w:ind w:left="-61" w:right="-39" w:firstLine="770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E6D23" w:rsidRDefault="006E6D23" w:rsidP="006E6D23"/>
    <w:p w:rsidR="00250D9A" w:rsidRDefault="00250D9A">
      <w:bookmarkStart w:id="0" w:name="_GoBack"/>
      <w:bookmarkEnd w:id="0"/>
    </w:p>
    <w:sectPr w:rsidR="0025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3A"/>
    <w:rsid w:val="00250D9A"/>
    <w:rsid w:val="006E6D23"/>
    <w:rsid w:val="008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DF8BC1-EB8C-4124-8690-C768EA9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2</cp:revision>
  <dcterms:created xsi:type="dcterms:W3CDTF">2020-04-13T08:33:00Z</dcterms:created>
  <dcterms:modified xsi:type="dcterms:W3CDTF">2020-04-13T08:33:00Z</dcterms:modified>
</cp:coreProperties>
</file>