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AA" w:rsidRPr="00C072CE" w:rsidRDefault="00D61AAA" w:rsidP="00D61AAA">
      <w:pPr>
        <w:keepNext/>
        <w:keepLines/>
        <w:shd w:val="clear" w:color="auto" w:fill="FFFFFF"/>
        <w:ind w:firstLine="7"/>
        <w:contextualSpacing/>
      </w:pPr>
      <w:r w:rsidRPr="00C072CE">
        <w:rPr>
          <w:bCs/>
          <w:iCs/>
        </w:rPr>
        <w:t xml:space="preserve">Оценка заявок на участие в открытом конкурсе осуществляется по стоимостному критерию оценки – </w:t>
      </w:r>
      <w:r w:rsidRPr="00C072CE">
        <w:rPr>
          <w:b/>
        </w:rPr>
        <w:t>«Цена контракта»</w:t>
      </w:r>
      <w:r w:rsidRPr="00C072CE">
        <w:t xml:space="preserve"> и </w:t>
      </w:r>
      <w:proofErr w:type="spellStart"/>
      <w:r w:rsidRPr="00C072CE">
        <w:t>нестоимостному</w:t>
      </w:r>
      <w:proofErr w:type="spellEnd"/>
      <w:r w:rsidRPr="00C072CE">
        <w:t xml:space="preserve"> критерию оценки –</w:t>
      </w:r>
      <w:r w:rsidRPr="00C072CE">
        <w:rPr>
          <w:b/>
        </w:rPr>
        <w:t xml:space="preserve"> «Квалификация участников открытого конкурса в электронной форме»</w:t>
      </w:r>
      <w:r w:rsidRPr="00C072CE">
        <w:t>.</w:t>
      </w:r>
    </w:p>
    <w:p w:rsidR="00D61AAA" w:rsidRPr="00C072CE" w:rsidRDefault="00D61AAA" w:rsidP="00D61AAA">
      <w:pPr>
        <w:keepNext/>
        <w:keepLines/>
        <w:shd w:val="clear" w:color="auto" w:fill="FFFFFF"/>
        <w:contextualSpacing/>
      </w:pPr>
    </w:p>
    <w:p w:rsidR="00D61AAA" w:rsidRPr="00C072CE" w:rsidRDefault="00D61AAA" w:rsidP="00D61AAA">
      <w:pPr>
        <w:keepNext/>
        <w:keepLines/>
        <w:shd w:val="clear" w:color="auto" w:fill="FFFFFF"/>
        <w:contextualSpacing/>
      </w:pPr>
      <w:r w:rsidRPr="00C072CE">
        <w:rPr>
          <w:b/>
          <w:i/>
        </w:rPr>
        <w:t xml:space="preserve">Победителем открытого </w:t>
      </w:r>
      <w:proofErr w:type="spellStart"/>
      <w:r w:rsidRPr="00C072CE">
        <w:rPr>
          <w:b/>
          <w:i/>
        </w:rPr>
        <w:t>конкурсав</w:t>
      </w:r>
      <w:proofErr w:type="spellEnd"/>
      <w:r w:rsidRPr="00C072CE">
        <w:rPr>
          <w:b/>
          <w:i/>
        </w:rPr>
        <w:t xml:space="preserve"> электронной форме </w:t>
      </w:r>
      <w:r w:rsidRPr="00C072CE">
        <w:t xml:space="preserve">признается участник открытого конкурса в электронной форме, который предложил лучшие условия исполнения контракта и заявке на участие в открытом конкурсе в электронной форме которого </w:t>
      </w:r>
      <w:r w:rsidRPr="00C072CE">
        <w:rPr>
          <w:b/>
          <w:i/>
        </w:rPr>
        <w:t>присвоен самый высокий итоговый рейтинг</w:t>
      </w:r>
      <w:r w:rsidRPr="00C072CE">
        <w:t xml:space="preserve">, вычисляемый как сумма рейтингов по каждому критерию оценки. </w:t>
      </w:r>
      <w:r w:rsidRPr="00C072CE">
        <w:rPr>
          <w:b/>
          <w:i/>
        </w:rPr>
        <w:t>Заявке на участие в открытом конкурсе в электронной форме такого участника присваивается первый порядковый номер</w:t>
      </w:r>
      <w:r w:rsidRPr="00C072CE">
        <w:t xml:space="preserve">. Каждой заявке на участие в открытом конкурсе в электронной форме присваивается порядковый номер в порядке уменьшения степени </w:t>
      </w:r>
      <w:proofErr w:type="gramStart"/>
      <w:r w:rsidRPr="00C072CE">
        <w:t>выгодности</w:t>
      </w:r>
      <w:proofErr w:type="gramEnd"/>
      <w:r w:rsidRPr="00C072CE">
        <w:t xml:space="preserve"> содержащихся в них условий исполнения контракта.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w:t>
      </w:r>
    </w:p>
    <w:p w:rsidR="00D61AAA" w:rsidRPr="00C072CE" w:rsidRDefault="00D61AAA" w:rsidP="00D61AAA">
      <w:pPr>
        <w:keepNext/>
        <w:keepLines/>
        <w:autoSpaceDE w:val="0"/>
        <w:autoSpaceDN w:val="0"/>
        <w:adjustRightInd w:val="0"/>
        <w:ind w:firstLine="7"/>
        <w:contextualSpacing/>
      </w:pPr>
    </w:p>
    <w:p w:rsidR="00D61AAA" w:rsidRPr="00C072CE" w:rsidRDefault="00D61AAA" w:rsidP="00D61AAA">
      <w:pPr>
        <w:keepNext/>
        <w:keepLines/>
        <w:autoSpaceDE w:val="0"/>
        <w:autoSpaceDN w:val="0"/>
        <w:adjustRightInd w:val="0"/>
        <w:contextualSpacing/>
      </w:pPr>
      <w:r w:rsidRPr="00C072CE">
        <w:t>Итоговый рейтинг заявки каждого участника конкурса вычисляется как сумма рейтингов по каждому критерию оценки заявки, умноженных на их коэффициент значимости:</w:t>
      </w:r>
    </w:p>
    <w:p w:rsidR="00D61AAA" w:rsidRPr="00C072CE" w:rsidRDefault="00D61AAA" w:rsidP="00D61AAA">
      <w:pPr>
        <w:keepNext/>
        <w:keepLines/>
        <w:contextualSpacing/>
      </w:pPr>
      <w:proofErr w:type="spellStart"/>
      <w:r w:rsidRPr="00C072CE">
        <w:rPr>
          <w:bCs/>
        </w:rPr>
        <w:t>R</w:t>
      </w:r>
      <w:r w:rsidRPr="00C072CE">
        <w:rPr>
          <w:bCs/>
          <w:vertAlign w:val="subscript"/>
        </w:rPr>
        <w:t>итог</w:t>
      </w:r>
      <w:proofErr w:type="spellEnd"/>
      <w:r w:rsidRPr="00C072CE">
        <w:rPr>
          <w:bCs/>
          <w:i/>
          <w:iCs/>
          <w:position w:val="-8"/>
          <w:vertAlign w:val="subscript"/>
        </w:rPr>
        <w:t>i</w:t>
      </w:r>
      <w:r w:rsidRPr="00C072CE">
        <w:rPr>
          <w:bCs/>
        </w:rPr>
        <w:t xml:space="preserve"> = ЦБ</w:t>
      </w:r>
      <w:proofErr w:type="spellStart"/>
      <w:r w:rsidRPr="00C072CE">
        <w:rPr>
          <w:bCs/>
          <w:vertAlign w:val="subscript"/>
          <w:lang w:val="en-US"/>
        </w:rPr>
        <w:t>i</w:t>
      </w:r>
      <w:proofErr w:type="spellEnd"/>
      <w:r w:rsidRPr="00C072CE">
        <w:rPr>
          <w:bCs/>
          <w:vertAlign w:val="subscript"/>
        </w:rPr>
        <w:t xml:space="preserve"> </w:t>
      </w:r>
      <w:r w:rsidRPr="00C072CE">
        <w:rPr>
          <w:bCs/>
          <w:lang w:val="en-US"/>
        </w:rPr>
        <w:t>x</w:t>
      </w:r>
      <w:r w:rsidRPr="00C072CE">
        <w:rPr>
          <w:bCs/>
        </w:rPr>
        <w:t xml:space="preserve"> К</w:t>
      </w:r>
      <w:r w:rsidRPr="00C072CE">
        <w:rPr>
          <w:bCs/>
          <w:vertAlign w:val="subscript"/>
        </w:rPr>
        <w:t>ЦБ</w:t>
      </w:r>
      <w:proofErr w:type="spellStart"/>
      <w:r w:rsidRPr="00C072CE">
        <w:rPr>
          <w:bCs/>
          <w:vertAlign w:val="subscript"/>
          <w:lang w:val="en-US"/>
        </w:rPr>
        <w:t>i</w:t>
      </w:r>
      <w:proofErr w:type="spellEnd"/>
      <w:r w:rsidRPr="00C072CE">
        <w:rPr>
          <w:bCs/>
        </w:rPr>
        <w:t xml:space="preserve"> + </w:t>
      </w:r>
      <w:r w:rsidRPr="00C072CE">
        <w:t>НЦБ</w:t>
      </w:r>
      <w:r w:rsidRPr="00C072CE">
        <w:rPr>
          <w:vertAlign w:val="subscript"/>
        </w:rPr>
        <w:t>2</w:t>
      </w:r>
      <w:proofErr w:type="spellStart"/>
      <w:r w:rsidRPr="00C072CE">
        <w:rPr>
          <w:vertAlign w:val="subscript"/>
          <w:lang w:val="en-US"/>
        </w:rPr>
        <w:t>i</w:t>
      </w:r>
      <w:proofErr w:type="spellEnd"/>
      <w:r w:rsidRPr="00C072CE">
        <w:rPr>
          <w:bCs/>
        </w:rPr>
        <w:t xml:space="preserve"> x К</w:t>
      </w:r>
      <w:r w:rsidRPr="00C072CE">
        <w:rPr>
          <w:bCs/>
          <w:vertAlign w:val="subscript"/>
        </w:rPr>
        <w:t>НЦБ2</w:t>
      </w:r>
      <w:proofErr w:type="spellStart"/>
      <w:r w:rsidRPr="00C072CE">
        <w:rPr>
          <w:bCs/>
          <w:vertAlign w:val="subscript"/>
          <w:lang w:val="en-US"/>
        </w:rPr>
        <w:t>i</w:t>
      </w:r>
      <w:proofErr w:type="spellEnd"/>
      <w:r w:rsidRPr="00C072CE">
        <w:t>, где</w:t>
      </w:r>
    </w:p>
    <w:p w:rsidR="00D61AAA" w:rsidRPr="00C072CE" w:rsidRDefault="00D61AAA" w:rsidP="00D61AAA">
      <w:pPr>
        <w:keepNext/>
        <w:keepLines/>
        <w:autoSpaceDE w:val="0"/>
        <w:autoSpaceDN w:val="0"/>
        <w:adjustRightInd w:val="0"/>
        <w:contextualSpacing/>
      </w:pPr>
      <w:proofErr w:type="spellStart"/>
      <w:r w:rsidRPr="00C072CE">
        <w:t>ЦБ</w:t>
      </w:r>
      <w:r w:rsidRPr="00C072CE">
        <w:rPr>
          <w:vertAlign w:val="subscript"/>
        </w:rPr>
        <w:t>i</w:t>
      </w:r>
      <w:proofErr w:type="spellEnd"/>
      <w:r w:rsidRPr="00C072CE">
        <w:t xml:space="preserve"> – количество баллов, присужденных i-й заявке по критерию «Цена контракта»;</w:t>
      </w:r>
    </w:p>
    <w:p w:rsidR="00D61AAA" w:rsidRPr="00C072CE" w:rsidRDefault="00D61AAA" w:rsidP="00D61AAA">
      <w:pPr>
        <w:keepNext/>
        <w:keepLines/>
        <w:autoSpaceDE w:val="0"/>
        <w:autoSpaceDN w:val="0"/>
        <w:adjustRightInd w:val="0"/>
        <w:contextualSpacing/>
      </w:pPr>
      <w:r w:rsidRPr="00C072CE">
        <w:rPr>
          <w:bCs/>
        </w:rPr>
        <w:t>К</w:t>
      </w:r>
      <w:r w:rsidRPr="00C072CE">
        <w:rPr>
          <w:bCs/>
          <w:vertAlign w:val="subscript"/>
        </w:rPr>
        <w:t>ЦБ</w:t>
      </w:r>
      <w:proofErr w:type="spellStart"/>
      <w:r w:rsidRPr="00C072CE">
        <w:rPr>
          <w:bCs/>
          <w:vertAlign w:val="subscript"/>
          <w:lang w:val="en-US"/>
        </w:rPr>
        <w:t>i</w:t>
      </w:r>
      <w:proofErr w:type="spellEnd"/>
      <w:r w:rsidRPr="00C072CE">
        <w:rPr>
          <w:vertAlign w:val="subscript"/>
        </w:rPr>
        <w:t xml:space="preserve"> </w:t>
      </w:r>
      <w:r w:rsidRPr="00C072CE">
        <w:t xml:space="preserve">– коэффициент значимости критерия «Цена контракта»; </w:t>
      </w:r>
    </w:p>
    <w:p w:rsidR="00D61AAA" w:rsidRPr="00C072CE" w:rsidRDefault="00D61AAA" w:rsidP="00D61AAA">
      <w:pPr>
        <w:keepNext/>
        <w:keepLines/>
        <w:autoSpaceDE w:val="0"/>
        <w:autoSpaceDN w:val="0"/>
        <w:adjustRightInd w:val="0"/>
        <w:contextualSpacing/>
      </w:pPr>
      <w:r w:rsidRPr="00C072CE">
        <w:t>НЦБ</w:t>
      </w:r>
      <w:r w:rsidRPr="00C072CE">
        <w:rPr>
          <w:vertAlign w:val="subscript"/>
        </w:rPr>
        <w:t>2</w:t>
      </w:r>
      <w:proofErr w:type="spellStart"/>
      <w:r w:rsidRPr="00C072CE">
        <w:rPr>
          <w:vertAlign w:val="subscript"/>
          <w:lang w:val="en-US"/>
        </w:rPr>
        <w:t>i</w:t>
      </w:r>
      <w:proofErr w:type="spellEnd"/>
      <w:r w:rsidRPr="00C072CE">
        <w:t xml:space="preserve"> - количество баллов, присужденных i-й заявке по критерию «Квалификация участников открытого конкурса»;</w:t>
      </w:r>
    </w:p>
    <w:p w:rsidR="00D61AAA" w:rsidRPr="00C072CE" w:rsidRDefault="00D61AAA" w:rsidP="00D61AAA">
      <w:pPr>
        <w:keepNext/>
        <w:keepLines/>
        <w:autoSpaceDE w:val="0"/>
        <w:autoSpaceDN w:val="0"/>
        <w:adjustRightInd w:val="0"/>
        <w:contextualSpacing/>
      </w:pPr>
      <w:r w:rsidRPr="00C072CE">
        <w:rPr>
          <w:bCs/>
        </w:rPr>
        <w:t>К</w:t>
      </w:r>
      <w:r w:rsidRPr="00C072CE">
        <w:rPr>
          <w:bCs/>
          <w:vertAlign w:val="subscript"/>
        </w:rPr>
        <w:t>НЦБ2</w:t>
      </w:r>
      <w:proofErr w:type="spellStart"/>
      <w:r w:rsidRPr="00C072CE">
        <w:rPr>
          <w:bCs/>
          <w:vertAlign w:val="subscript"/>
          <w:lang w:val="en-US"/>
        </w:rPr>
        <w:t>i</w:t>
      </w:r>
      <w:proofErr w:type="spellEnd"/>
      <w:r w:rsidRPr="00C072CE">
        <w:t xml:space="preserve"> – коэффициент значимости критерия «Квалификация участников открытого конкурса».</w:t>
      </w:r>
    </w:p>
    <w:p w:rsidR="00D61AAA" w:rsidRPr="00C072CE" w:rsidRDefault="00D61AAA" w:rsidP="00D61AAA">
      <w:pPr>
        <w:keepNext/>
        <w:keepLines/>
        <w:shd w:val="clear" w:color="auto" w:fill="FFFFFF"/>
        <w:contextualSpacing/>
      </w:pPr>
      <w:r w:rsidRPr="00C072CE">
        <w:t>Коэффициент значимости критерия оценки равен значимости критерия оценки, деленной на 100.</w:t>
      </w:r>
    </w:p>
    <w:p w:rsidR="00D61AAA" w:rsidRPr="00C072CE" w:rsidRDefault="00D61AAA" w:rsidP="00D61AAA">
      <w:pPr>
        <w:pStyle w:val="2"/>
        <w:keepNext/>
        <w:keepLines/>
        <w:tabs>
          <w:tab w:val="clear" w:pos="567"/>
        </w:tabs>
        <w:spacing w:after="0"/>
        <w:ind w:left="0" w:firstLine="0"/>
        <w:contextualSpacing/>
        <w:rPr>
          <w:szCs w:val="24"/>
        </w:rPr>
      </w:pPr>
      <w:r w:rsidRPr="00C072CE">
        <w:rPr>
          <w:szCs w:val="24"/>
        </w:rPr>
        <w:t>Дробное значение рейтинга округляется до двух десятичных знаков после запятой по математическим правилам округления.</w:t>
      </w:r>
    </w:p>
    <w:p w:rsidR="00D61AAA" w:rsidRPr="00C072CE" w:rsidRDefault="00D61AAA" w:rsidP="00D61AAA">
      <w:pPr>
        <w:keepNext/>
        <w:keepLines/>
        <w:autoSpaceDE w:val="0"/>
        <w:autoSpaceDN w:val="0"/>
        <w:adjustRightInd w:val="0"/>
        <w:ind w:firstLine="6"/>
        <w:contextualSpacing/>
      </w:pPr>
      <w:r w:rsidRPr="00C072CE">
        <w:t xml:space="preserve">Если в заявках на участие в открытом конкурсе в </w:t>
      </w:r>
      <w:proofErr w:type="spellStart"/>
      <w:r w:rsidRPr="00C072CE">
        <w:t>элетронной</w:t>
      </w:r>
      <w:proofErr w:type="spellEnd"/>
      <w:r w:rsidRPr="00C072CE">
        <w:t xml:space="preserve"> форме участниками открытого конкурса в электронной форме </w:t>
      </w:r>
      <w:r w:rsidRPr="00C072CE">
        <w:rPr>
          <w:b/>
          <w:bCs/>
          <w:i/>
          <w:iCs/>
        </w:rPr>
        <w:t>не представлена информация по какому-либо критерию оценки (показателю)</w:t>
      </w:r>
      <w:r w:rsidRPr="00C072CE">
        <w:t xml:space="preserve">, необходимого для оценки заявок на участие в открытом конкурсе в электронной форме, </w:t>
      </w:r>
      <w:r w:rsidRPr="00C072CE">
        <w:rPr>
          <w:b/>
          <w:bCs/>
          <w:i/>
          <w:iCs/>
        </w:rPr>
        <w:t>либо по критерию оценки (показателю) не представлены подтверждающие документы</w:t>
      </w:r>
      <w:r w:rsidRPr="00C072CE">
        <w:t xml:space="preserve">, предусмотренные данной документацией об открытом конкурсе электронной форме, такой </w:t>
      </w:r>
      <w:r w:rsidRPr="00C072CE">
        <w:rPr>
          <w:b/>
          <w:bCs/>
          <w:i/>
          <w:iCs/>
        </w:rPr>
        <w:t>критерий оценки (показатель) оценивается в 0 баллов</w:t>
      </w:r>
      <w:r w:rsidRPr="00C072CE">
        <w:t>.</w:t>
      </w:r>
    </w:p>
    <w:p w:rsidR="00D61AAA" w:rsidRPr="00C072CE" w:rsidRDefault="00D61AAA" w:rsidP="00D61AAA">
      <w:pPr>
        <w:keepNext/>
        <w:keepLines/>
        <w:shd w:val="clear" w:color="auto" w:fill="FFFFFF"/>
        <w:rPr>
          <w:sz w:val="12"/>
          <w:szCs w:val="12"/>
        </w:rPr>
      </w:pPr>
    </w:p>
    <w:p w:rsidR="00D61AAA" w:rsidRPr="00C072CE" w:rsidRDefault="00D61AAA" w:rsidP="00D61AAA">
      <w:pPr>
        <w:keepNext/>
        <w:keepLines/>
        <w:numPr>
          <w:ilvl w:val="0"/>
          <w:numId w:val="1"/>
        </w:numPr>
        <w:shd w:val="clear" w:color="auto" w:fill="FFFFFF"/>
        <w:tabs>
          <w:tab w:val="left" w:pos="290"/>
        </w:tabs>
        <w:suppressAutoHyphens/>
        <w:ind w:left="7" w:firstLine="0"/>
        <w:rPr>
          <w:b/>
        </w:rPr>
      </w:pPr>
      <w:r w:rsidRPr="00C072CE">
        <w:rPr>
          <w:b/>
        </w:rPr>
        <w:t>Стоимостной критерий оценки – «Цена контракта».</w:t>
      </w:r>
    </w:p>
    <w:p w:rsidR="00D61AAA" w:rsidRPr="00C072CE" w:rsidRDefault="00D61AAA" w:rsidP="00D61AAA">
      <w:pPr>
        <w:keepNext/>
        <w:keepLines/>
        <w:shd w:val="clear" w:color="auto" w:fill="FFFFFF"/>
      </w:pPr>
      <w:r w:rsidRPr="00C072CE">
        <w:t>Значимость критерия оценки 60%. Максимальное количество баллов – 100.</w:t>
      </w:r>
    </w:p>
    <w:p w:rsidR="00D61AAA" w:rsidRPr="00C072CE" w:rsidRDefault="00D61AAA" w:rsidP="00D61AAA">
      <w:pPr>
        <w:keepNext/>
        <w:keepLines/>
        <w:shd w:val="clear" w:color="auto" w:fill="FFFFFF"/>
        <w:rPr>
          <w:bCs/>
          <w:sz w:val="12"/>
          <w:szCs w:val="12"/>
        </w:rPr>
      </w:pPr>
    </w:p>
    <w:p w:rsidR="00D61AAA" w:rsidRPr="00C072CE" w:rsidRDefault="00D61AAA" w:rsidP="00D61AAA">
      <w:pPr>
        <w:keepNext/>
        <w:keepLines/>
        <w:shd w:val="clear" w:color="auto" w:fill="FFFFFF"/>
        <w:rPr>
          <w:bCs/>
        </w:rPr>
      </w:pPr>
      <w:r w:rsidRPr="00C072CE">
        <w:rPr>
          <w:bCs/>
        </w:rPr>
        <w:t>Количество баллов, присуждаемых по критерию оценки</w:t>
      </w:r>
      <w:r w:rsidRPr="00C072CE">
        <w:t xml:space="preserve"> (ЦБ</w:t>
      </w:r>
      <w:proofErr w:type="spellStart"/>
      <w:r w:rsidRPr="00C072CE">
        <w:rPr>
          <w:vertAlign w:val="subscript"/>
          <w:lang w:val="en-US"/>
        </w:rPr>
        <w:t>i</w:t>
      </w:r>
      <w:proofErr w:type="spellEnd"/>
      <w:r w:rsidRPr="00C072CE">
        <w:rPr>
          <w:bCs/>
        </w:rPr>
        <w:t xml:space="preserve">), определяется по формуле: </w:t>
      </w:r>
    </w:p>
    <w:p w:rsidR="00D61AAA" w:rsidRPr="00C072CE" w:rsidRDefault="00D61AAA" w:rsidP="00D61AAA">
      <w:pPr>
        <w:keepNext/>
        <w:keepLines/>
        <w:autoSpaceDE w:val="0"/>
        <w:autoSpaceDN w:val="0"/>
        <w:adjustRightInd w:val="0"/>
        <w:ind w:firstLine="6"/>
      </w:pPr>
      <w:r w:rsidRPr="00C072CE">
        <w:t>а) в случае если Ц</w:t>
      </w:r>
      <w:r w:rsidRPr="00C072CE">
        <w:rPr>
          <w:vertAlign w:val="subscript"/>
          <w:lang w:val="en-US"/>
        </w:rPr>
        <w:t>min</w:t>
      </w:r>
      <w:r w:rsidRPr="00C072CE">
        <w:rPr>
          <w:vertAlign w:val="subscript"/>
        </w:rPr>
        <w:t xml:space="preserve"> </w:t>
      </w:r>
      <w:r w:rsidRPr="00C072CE">
        <w:t>&gt;0,</w:t>
      </w:r>
    </w:p>
    <w:p w:rsidR="00D61AAA" w:rsidRPr="00C072CE" w:rsidRDefault="00D61AAA" w:rsidP="00D61AAA">
      <w:pPr>
        <w:keepNext/>
        <w:keepLines/>
        <w:autoSpaceDE w:val="0"/>
        <w:autoSpaceDN w:val="0"/>
        <w:adjustRightInd w:val="0"/>
        <w:ind w:firstLine="6"/>
      </w:pPr>
      <w:r w:rsidRPr="00C072CE">
        <w:rPr>
          <w:noProof/>
          <w:position w:val="-30"/>
        </w:rPr>
        <w:drawing>
          <wp:inline distT="0" distB="0" distL="0" distR="0">
            <wp:extent cx="1041400" cy="437515"/>
            <wp:effectExtent l="0" t="0" r="635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437515"/>
                    </a:xfrm>
                    <a:prstGeom prst="rect">
                      <a:avLst/>
                    </a:prstGeom>
                    <a:noFill/>
                    <a:ln>
                      <a:noFill/>
                    </a:ln>
                  </pic:spPr>
                </pic:pic>
              </a:graphicData>
            </a:graphic>
          </wp:inline>
        </w:drawing>
      </w:r>
      <w:r w:rsidRPr="00C072CE">
        <w:t>,</w:t>
      </w:r>
    </w:p>
    <w:p w:rsidR="00D61AAA" w:rsidRPr="00C072CE" w:rsidRDefault="00D61AAA" w:rsidP="00D61AAA">
      <w:pPr>
        <w:keepNext/>
        <w:keepLines/>
        <w:autoSpaceDE w:val="0"/>
        <w:autoSpaceDN w:val="0"/>
        <w:adjustRightInd w:val="0"/>
        <w:ind w:firstLine="6"/>
      </w:pPr>
      <w:r w:rsidRPr="00C072CE">
        <w:t>где:</w:t>
      </w:r>
    </w:p>
    <w:p w:rsidR="00D61AAA" w:rsidRPr="00C072CE" w:rsidRDefault="00D61AAA" w:rsidP="00D61AAA">
      <w:pPr>
        <w:keepNext/>
        <w:keepLines/>
        <w:autoSpaceDE w:val="0"/>
        <w:autoSpaceDN w:val="0"/>
        <w:adjustRightInd w:val="0"/>
        <w:ind w:firstLine="6"/>
      </w:pPr>
      <w:r w:rsidRPr="00C072CE">
        <w:rPr>
          <w:noProof/>
          <w:position w:val="-12"/>
        </w:rPr>
        <w:drawing>
          <wp:inline distT="0" distB="0" distL="0" distR="0">
            <wp:extent cx="19875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C072CE">
        <w:t xml:space="preserve"> - предложение участника открытого конкурса в электронной форме, заявка на участие в открытом конкурсе в электронной форме которого оценивается;</w:t>
      </w:r>
    </w:p>
    <w:p w:rsidR="00D61AAA" w:rsidRPr="00C072CE" w:rsidRDefault="00D61AAA" w:rsidP="00D61AAA">
      <w:pPr>
        <w:keepNext/>
        <w:keepLines/>
        <w:autoSpaceDE w:val="0"/>
        <w:autoSpaceDN w:val="0"/>
        <w:adjustRightInd w:val="0"/>
        <w:ind w:firstLine="6"/>
      </w:pPr>
      <w:r w:rsidRPr="00C072CE">
        <w:rPr>
          <w:noProof/>
          <w:position w:val="-12"/>
        </w:rPr>
        <w:drawing>
          <wp:inline distT="0" distB="0" distL="0" distR="0">
            <wp:extent cx="325755"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C072CE">
        <w:t xml:space="preserve"> - минимальное предложение из предложений по критерию оценки, сделанных участниками открытого конкурса в электронной форме;</w:t>
      </w:r>
    </w:p>
    <w:p w:rsidR="00D61AAA" w:rsidRPr="00C072CE" w:rsidRDefault="00D61AAA" w:rsidP="00D61AAA">
      <w:pPr>
        <w:keepNext/>
        <w:keepLines/>
        <w:autoSpaceDE w:val="0"/>
        <w:autoSpaceDN w:val="0"/>
        <w:adjustRightInd w:val="0"/>
        <w:ind w:firstLine="6"/>
      </w:pPr>
      <w:r w:rsidRPr="00C072CE">
        <w:t>б) в случае если Ц</w:t>
      </w:r>
      <w:r w:rsidRPr="00C072CE">
        <w:rPr>
          <w:vertAlign w:val="subscript"/>
          <w:lang w:val="en-US"/>
        </w:rPr>
        <w:t>min</w:t>
      </w:r>
      <w:r w:rsidRPr="00C072CE">
        <w:rPr>
          <w:vertAlign w:val="subscript"/>
        </w:rPr>
        <w:t xml:space="preserve"> </w:t>
      </w:r>
      <w:r w:rsidRPr="00C072CE">
        <w:t>&lt;0,</w:t>
      </w:r>
    </w:p>
    <w:p w:rsidR="00D61AAA" w:rsidRPr="00C072CE" w:rsidRDefault="00D61AAA" w:rsidP="00D61AAA">
      <w:pPr>
        <w:keepNext/>
        <w:keepLines/>
        <w:autoSpaceDE w:val="0"/>
        <w:autoSpaceDN w:val="0"/>
        <w:adjustRightInd w:val="0"/>
        <w:ind w:firstLine="6"/>
      </w:pPr>
      <w:r w:rsidRPr="00C072CE">
        <w:rPr>
          <w:noProof/>
          <w:position w:val="-30"/>
        </w:rPr>
        <w:lastRenderedPageBreak/>
        <w:drawing>
          <wp:inline distT="0" distB="0" distL="0" distR="0">
            <wp:extent cx="1431290" cy="461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461010"/>
                    </a:xfrm>
                    <a:prstGeom prst="rect">
                      <a:avLst/>
                    </a:prstGeom>
                    <a:noFill/>
                    <a:ln>
                      <a:noFill/>
                    </a:ln>
                  </pic:spPr>
                </pic:pic>
              </a:graphicData>
            </a:graphic>
          </wp:inline>
        </w:drawing>
      </w:r>
      <w:r w:rsidRPr="00C072CE">
        <w:t>,</w:t>
      </w:r>
    </w:p>
    <w:p w:rsidR="00D61AAA" w:rsidRPr="00C072CE" w:rsidRDefault="00D61AAA" w:rsidP="00D61AAA">
      <w:pPr>
        <w:autoSpaceDE w:val="0"/>
      </w:pPr>
      <w:r w:rsidRPr="00C072CE">
        <w:t>где Ц</w:t>
      </w:r>
      <w:r w:rsidRPr="00C072CE">
        <w:rPr>
          <w:vertAlign w:val="subscript"/>
          <w:lang w:val="en-US"/>
        </w:rPr>
        <w:t>max</w:t>
      </w:r>
      <w:r w:rsidRPr="00C072CE">
        <w:t xml:space="preserve"> - максимальное предложение из предложений по критерию, сделанных участниками открытого конкурса в электронной форме.</w:t>
      </w:r>
    </w:p>
    <w:p w:rsidR="00D61AAA" w:rsidRPr="00C072CE" w:rsidRDefault="00D61AAA" w:rsidP="00D61AAA">
      <w:pPr>
        <w:autoSpaceDE w:val="0"/>
        <w:rPr>
          <w:sz w:val="12"/>
          <w:szCs w:val="12"/>
        </w:rPr>
      </w:pPr>
    </w:p>
    <w:p w:rsidR="00D61AAA" w:rsidRPr="00C072CE" w:rsidRDefault="00D61AAA" w:rsidP="00D61AAA">
      <w:pPr>
        <w:shd w:val="clear" w:color="auto" w:fill="FFFFFF"/>
        <w:rPr>
          <w:b/>
        </w:rPr>
      </w:pPr>
    </w:p>
    <w:p w:rsidR="00D61AAA" w:rsidRPr="00C072CE" w:rsidRDefault="00D61AAA" w:rsidP="00D61AAA">
      <w:pPr>
        <w:shd w:val="clear" w:color="auto" w:fill="FFFFFF"/>
        <w:rPr>
          <w:b/>
        </w:rPr>
      </w:pPr>
      <w:r w:rsidRPr="00C072CE">
        <w:rPr>
          <w:b/>
        </w:rPr>
        <w:t xml:space="preserve">2. </w:t>
      </w:r>
      <w:proofErr w:type="spellStart"/>
      <w:r w:rsidRPr="00C072CE">
        <w:rPr>
          <w:b/>
        </w:rPr>
        <w:t>Нестоимостной</w:t>
      </w:r>
      <w:proofErr w:type="spellEnd"/>
      <w:r w:rsidRPr="00C072CE">
        <w:rPr>
          <w:b/>
        </w:rPr>
        <w:t xml:space="preserve"> критерий оценки – «</w:t>
      </w:r>
      <w:r w:rsidRPr="00C072CE">
        <w:rPr>
          <w:b/>
          <w:bCs/>
          <w:iCs/>
        </w:rPr>
        <w:t>Квалификация участников закупки, в том числе наличие у них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специалистов и иных работников определенного уровня квалификации</w:t>
      </w:r>
      <w:r w:rsidRPr="00C072CE">
        <w:rPr>
          <w:b/>
        </w:rPr>
        <w:t>».</w:t>
      </w:r>
    </w:p>
    <w:p w:rsidR="00D61AAA" w:rsidRPr="00C072CE" w:rsidRDefault="00D61AAA" w:rsidP="00D61AAA">
      <w:pPr>
        <w:shd w:val="clear" w:color="auto" w:fill="FFFFFF"/>
      </w:pPr>
      <w:r w:rsidRPr="00C072CE">
        <w:t>Значимость критерия оценки 40%. Максимальное количество баллов – 100.</w:t>
      </w:r>
    </w:p>
    <w:p w:rsidR="00D61AAA" w:rsidRPr="00C072CE" w:rsidRDefault="00D61AAA" w:rsidP="00D61AAA">
      <w:pPr>
        <w:shd w:val="clear" w:color="auto" w:fill="FFFFFF"/>
      </w:pPr>
      <w:r w:rsidRPr="00C072CE">
        <w:t>Информация по критерию оценки (показателям критерия оценки) указывается в Форме № 1.</w:t>
      </w:r>
    </w:p>
    <w:p w:rsidR="00D61AAA" w:rsidRPr="00C072CE" w:rsidRDefault="00D61AAA" w:rsidP="00D61AAA">
      <w:pPr>
        <w:shd w:val="clear" w:color="auto" w:fill="FFFFFF"/>
        <w:rPr>
          <w:sz w:val="12"/>
          <w:szCs w:val="12"/>
        </w:rPr>
      </w:pPr>
    </w:p>
    <w:p w:rsidR="00D61AAA" w:rsidRPr="00C072CE" w:rsidRDefault="00D61AAA" w:rsidP="00D61AAA">
      <w:pPr>
        <w:shd w:val="clear" w:color="auto" w:fill="FFFFFF"/>
        <w:rPr>
          <w:bCs/>
          <w:sz w:val="22"/>
          <w:szCs w:val="22"/>
        </w:rPr>
      </w:pPr>
      <w:r w:rsidRPr="00C072CE">
        <w:rPr>
          <w:bCs/>
        </w:rPr>
        <w:t xml:space="preserve">Количество баллов, присуждаемых по критерию оценки, определяется по формуле: </w:t>
      </w:r>
    </w:p>
    <w:p w:rsidR="00D61AAA" w:rsidRPr="00C072CE" w:rsidRDefault="00D61AAA" w:rsidP="00D61AAA">
      <w:pPr>
        <w:shd w:val="clear" w:color="auto" w:fill="FFFFFF"/>
      </w:pPr>
      <w:r w:rsidRPr="00C072CE">
        <w:t>НЦБ</w:t>
      </w:r>
      <w:proofErr w:type="spellStart"/>
      <w:r w:rsidRPr="00C072CE">
        <w:rPr>
          <w:vertAlign w:val="subscript"/>
          <w:lang w:val="en-US"/>
        </w:rPr>
        <w:t>i</w:t>
      </w:r>
      <w:proofErr w:type="spellEnd"/>
      <w:r w:rsidRPr="00C072CE">
        <w:rPr>
          <w:vertAlign w:val="subscript"/>
        </w:rPr>
        <w:t xml:space="preserve"> </w:t>
      </w:r>
      <w:r w:rsidRPr="00C072CE">
        <w:t>= НЦБ</w:t>
      </w:r>
      <w:r w:rsidRPr="00C072CE">
        <w:rPr>
          <w:vertAlign w:val="subscript"/>
        </w:rPr>
        <w:t>п1</w:t>
      </w:r>
      <w:proofErr w:type="spellStart"/>
      <w:r w:rsidRPr="00C072CE">
        <w:rPr>
          <w:vertAlign w:val="subscript"/>
          <w:lang w:val="en-US"/>
        </w:rPr>
        <w:t>i</w:t>
      </w:r>
      <w:proofErr w:type="spellEnd"/>
      <w:r w:rsidRPr="00C072CE">
        <w:rPr>
          <w:vertAlign w:val="subscript"/>
        </w:rPr>
        <w:t xml:space="preserve"> </w:t>
      </w:r>
      <w:r w:rsidRPr="00C072CE">
        <w:t>+ НЦБ</w:t>
      </w:r>
      <w:r w:rsidRPr="00C072CE">
        <w:rPr>
          <w:vertAlign w:val="subscript"/>
        </w:rPr>
        <w:t>п2</w:t>
      </w:r>
      <w:proofErr w:type="spellStart"/>
      <w:r w:rsidRPr="00C072CE">
        <w:rPr>
          <w:vertAlign w:val="subscript"/>
          <w:lang w:val="en-US"/>
        </w:rPr>
        <w:t>i</w:t>
      </w:r>
      <w:proofErr w:type="spellEnd"/>
      <w:r w:rsidRPr="00C072CE">
        <w:t>, где</w:t>
      </w:r>
    </w:p>
    <w:p w:rsidR="00D61AAA" w:rsidRPr="00C072CE" w:rsidRDefault="00D61AAA" w:rsidP="00D61AAA">
      <w:pPr>
        <w:rPr>
          <w:b/>
          <w:bCs/>
        </w:rPr>
      </w:pPr>
      <w:r w:rsidRPr="00C072CE">
        <w:t>НЦБ</w:t>
      </w:r>
      <w:r w:rsidRPr="00C072CE">
        <w:rPr>
          <w:vertAlign w:val="subscript"/>
        </w:rPr>
        <w:t>п1</w:t>
      </w:r>
      <w:proofErr w:type="spellStart"/>
      <w:r w:rsidRPr="00C072CE">
        <w:rPr>
          <w:vertAlign w:val="subscript"/>
          <w:lang w:val="en-US"/>
        </w:rPr>
        <w:t>i</w:t>
      </w:r>
      <w:proofErr w:type="spellEnd"/>
      <w:r w:rsidRPr="00C072CE">
        <w:rPr>
          <w:vertAlign w:val="subscript"/>
        </w:rPr>
        <w:t xml:space="preserve"> </w:t>
      </w:r>
      <w:r w:rsidRPr="00C072CE">
        <w:t>- количество б</w:t>
      </w:r>
      <w:r w:rsidRPr="00C072CE">
        <w:rPr>
          <w:bCs/>
        </w:rPr>
        <w:t xml:space="preserve">аллов, присуждаемых по показателю критерия оценки «Наличие у участника закупки </w:t>
      </w:r>
      <w:r w:rsidRPr="00C072CE">
        <w:rPr>
          <w:rFonts w:cs="Arial"/>
        </w:rPr>
        <w:t>мобильных групп быстрого реагирования, предполагаемых для оперативного оказания услуг на Объектах</w:t>
      </w:r>
      <w:r w:rsidRPr="00C072CE">
        <w:rPr>
          <w:bCs/>
        </w:rPr>
        <w:t>»</w:t>
      </w:r>
      <w:r w:rsidRPr="00C072CE">
        <w:t>;</w:t>
      </w:r>
    </w:p>
    <w:p w:rsidR="00D61AAA" w:rsidRPr="00C072CE" w:rsidRDefault="00D61AAA" w:rsidP="00D61AAA">
      <w:pPr>
        <w:rPr>
          <w:bCs/>
        </w:rPr>
      </w:pPr>
      <w:r w:rsidRPr="00C072CE">
        <w:t>НЦБ</w:t>
      </w:r>
      <w:r w:rsidRPr="00C072CE">
        <w:rPr>
          <w:vertAlign w:val="subscript"/>
        </w:rPr>
        <w:t>п2</w:t>
      </w:r>
      <w:proofErr w:type="spellStart"/>
      <w:r w:rsidRPr="00C072CE">
        <w:rPr>
          <w:vertAlign w:val="subscript"/>
          <w:lang w:val="en-US"/>
        </w:rPr>
        <w:t>i</w:t>
      </w:r>
      <w:proofErr w:type="spellEnd"/>
      <w:r w:rsidRPr="00C072CE">
        <w:rPr>
          <w:vertAlign w:val="subscript"/>
        </w:rPr>
        <w:t xml:space="preserve"> </w:t>
      </w:r>
      <w:r w:rsidRPr="00C072CE">
        <w:t xml:space="preserve">- количество </w:t>
      </w:r>
      <w:r w:rsidRPr="00C072CE">
        <w:rPr>
          <w:bCs/>
        </w:rPr>
        <w:t xml:space="preserve">баллов, присуждаемых по показателю критерия оценки «Наличие у участника закупки </w:t>
      </w:r>
      <w:r w:rsidRPr="00C072CE">
        <w:rPr>
          <w:rFonts w:cs="Arial"/>
        </w:rPr>
        <w:t>пунктов централизованной охраны в Красноярском крае</w:t>
      </w:r>
      <w:r w:rsidRPr="00C072CE">
        <w:rPr>
          <w:bCs/>
        </w:rPr>
        <w:t>»;</w:t>
      </w:r>
    </w:p>
    <w:p w:rsidR="00D61AAA" w:rsidRPr="00C072CE" w:rsidRDefault="00D61AAA" w:rsidP="00D61AAA">
      <w:pPr>
        <w:autoSpaceDE w:val="0"/>
        <w:autoSpaceDN w:val="0"/>
        <w:adjustRightInd w:val="0"/>
        <w:rPr>
          <w:b/>
          <w:bCs/>
        </w:rPr>
      </w:pPr>
      <w:r w:rsidRPr="00C072CE">
        <w:rPr>
          <w:bCs/>
        </w:rPr>
        <w:t xml:space="preserve">Количество баллов, присуждаемых по показателям критерия оценки, определяется по шкале </w:t>
      </w:r>
      <w:proofErr w:type="gramStart"/>
      <w:r w:rsidRPr="00C072CE">
        <w:rPr>
          <w:bCs/>
        </w:rPr>
        <w:t>оценки</w:t>
      </w:r>
      <w:proofErr w:type="gramEnd"/>
      <w:r w:rsidRPr="00C072CE">
        <w:rPr>
          <w:bCs/>
        </w:rPr>
        <w:t xml:space="preserve"> в которой устанавливается количество баллов, присуждаемое за определенное значение критерия оценки (показателя), предложенное участником закупки и скорректировано с учетом коэффициента значимости показателя.</w:t>
      </w:r>
    </w:p>
    <w:p w:rsidR="00D61AAA" w:rsidRPr="00C072CE" w:rsidRDefault="00D61AAA" w:rsidP="00D61AAA">
      <w:pPr>
        <w:shd w:val="clear" w:color="auto" w:fill="FFFFFF"/>
      </w:pPr>
      <w:r w:rsidRPr="00C072CE">
        <w:t xml:space="preserve">Коэффициент значимости показателей равен значимости показателя критерия оценки, деленной на 100. </w:t>
      </w:r>
    </w:p>
    <w:p w:rsidR="00D61AAA" w:rsidRPr="00C072CE" w:rsidRDefault="00D61AAA" w:rsidP="00D61AAA">
      <w:pPr>
        <w:shd w:val="clear" w:color="auto" w:fill="FFFFFF"/>
        <w:rPr>
          <w:bCs/>
        </w:rPr>
      </w:pPr>
    </w:p>
    <w:p w:rsidR="00D61AAA" w:rsidRPr="00C072CE" w:rsidRDefault="00D61AAA" w:rsidP="00D61AAA">
      <w:pPr>
        <w:shd w:val="clear" w:color="auto" w:fill="FFFFFF"/>
      </w:pPr>
      <w:r w:rsidRPr="00C072CE">
        <w:rPr>
          <w:u w:val="single"/>
        </w:rPr>
        <w:t>Показатели критерия оценки</w:t>
      </w:r>
      <w:r w:rsidRPr="00C072CE">
        <w:t>:</w:t>
      </w:r>
    </w:p>
    <w:p w:rsidR="00D61AAA" w:rsidRPr="00C072CE" w:rsidRDefault="00D61AAA" w:rsidP="00D61AAA">
      <w:pPr>
        <w:shd w:val="clear" w:color="auto" w:fill="FFFFFF"/>
        <w:rPr>
          <w:b/>
        </w:rPr>
      </w:pPr>
      <w:r w:rsidRPr="00C072CE">
        <w:rPr>
          <w:b/>
        </w:rPr>
        <w:t xml:space="preserve">2.1. </w:t>
      </w:r>
      <w:r w:rsidRPr="00C072CE">
        <w:rPr>
          <w:b/>
          <w:bCs/>
        </w:rPr>
        <w:t xml:space="preserve">Наличие у участника закупки </w:t>
      </w:r>
      <w:r w:rsidRPr="00C072CE">
        <w:rPr>
          <w:rFonts w:cs="Arial"/>
          <w:b/>
        </w:rPr>
        <w:t>мобильных групп быстрого реагирования, предполагаемых для оперативного оказания услуг на Объектах</w:t>
      </w:r>
      <w:r w:rsidRPr="00C072CE">
        <w:rPr>
          <w:b/>
        </w:rPr>
        <w:t>.</w:t>
      </w:r>
    </w:p>
    <w:p w:rsidR="00D61AAA" w:rsidRPr="00C072CE" w:rsidRDefault="00D61AAA" w:rsidP="00D61AAA">
      <w:pPr>
        <w:shd w:val="clear" w:color="auto" w:fill="FFFFFF"/>
      </w:pPr>
      <w:r w:rsidRPr="00C072CE">
        <w:t>Значимость показателя критерия оценки - 60%.</w:t>
      </w:r>
    </w:p>
    <w:p w:rsidR="00D61AAA" w:rsidRPr="00C072CE" w:rsidRDefault="00D61AAA" w:rsidP="00D61AAA">
      <w:pPr>
        <w:shd w:val="clear" w:color="auto" w:fill="FFFFFF"/>
      </w:pPr>
    </w:p>
    <w:p w:rsidR="00D61AAA" w:rsidRPr="00C072CE" w:rsidRDefault="00D61AAA" w:rsidP="00D61AAA">
      <w:pPr>
        <w:shd w:val="clear" w:color="auto" w:fill="FFFFFF"/>
      </w:pPr>
      <w:r w:rsidRPr="00C072CE">
        <w:t>Оценивается квалификация участника открытого конкурса по количеству мобильных групп быстрого реагирования, предполагаемых для оперативного оказания услуг на Объектах. Одна мобильная группа быстрого реагирования должна:</w:t>
      </w:r>
    </w:p>
    <w:p w:rsidR="00D61AAA" w:rsidRPr="00C072CE" w:rsidRDefault="00D61AAA" w:rsidP="00D61AAA">
      <w:pPr>
        <w:shd w:val="clear" w:color="auto" w:fill="FFFFFF"/>
      </w:pPr>
      <w:r w:rsidRPr="00C072CE">
        <w:t>- состоять не менее чем из 2 (двух) сотрудников, находящихся в штате компании участника закупки, имеющих карточки охранника и свидетельства о присвоении квалификации охранника 6 разряда (для частных охранных предприятий) или служебные удостоверения (для иных структур);</w:t>
      </w:r>
    </w:p>
    <w:p w:rsidR="00D61AAA" w:rsidRPr="00C072CE" w:rsidRDefault="00D61AAA" w:rsidP="00D61AAA">
      <w:pPr>
        <w:shd w:val="clear" w:color="auto" w:fill="FFFFFF"/>
      </w:pPr>
      <w:r w:rsidRPr="00C072CE">
        <w:t>- быть обеспечена 1 (одной) единицей автотранспорта и не менее чем 1 (одной) единицей огнестрельного оружия, а также комплектом спецсредств (каска, бронежилет и пр.) на каждого сотрудника.</w:t>
      </w:r>
    </w:p>
    <w:p w:rsidR="00D61AAA" w:rsidRPr="00C072CE" w:rsidRDefault="00D61AAA" w:rsidP="00D61AAA">
      <w:pPr>
        <w:shd w:val="clear" w:color="auto" w:fill="FFFFFF"/>
      </w:pPr>
    </w:p>
    <w:p w:rsidR="00D61AAA" w:rsidRPr="00C072CE" w:rsidRDefault="00D61AAA" w:rsidP="00D61AAA">
      <w:pPr>
        <w:keepNext/>
        <w:keepLines/>
        <w:shd w:val="clear" w:color="auto" w:fill="FFFFFF"/>
        <w:ind w:firstLine="6"/>
        <w:rPr>
          <w:b/>
        </w:rPr>
      </w:pPr>
      <w:r w:rsidRPr="00C072CE">
        <w:rPr>
          <w:b/>
        </w:rPr>
        <w:t>Порядок присуждения баллов по показателю: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4"/>
        <w:gridCol w:w="1598"/>
        <w:gridCol w:w="2663"/>
      </w:tblGrid>
      <w:tr w:rsidR="00D61AAA" w:rsidRPr="00C072CE" w:rsidTr="00AB2066">
        <w:tc>
          <w:tcPr>
            <w:tcW w:w="2720" w:type="pct"/>
            <w:vAlign w:val="center"/>
          </w:tcPr>
          <w:p w:rsidR="00D61AAA" w:rsidRPr="00C072CE" w:rsidRDefault="00D61AAA" w:rsidP="00AB2066">
            <w:pPr>
              <w:jc w:val="center"/>
            </w:pPr>
            <w:r w:rsidRPr="00C072CE">
              <w:rPr>
                <w:rFonts w:eastAsia="Calibri"/>
              </w:rPr>
              <w:t>Количество мобильных групп быстрого реагирования, предполагаемых для оперативного оказания услуг на Объектах, шт.</w:t>
            </w:r>
          </w:p>
        </w:tc>
        <w:tc>
          <w:tcPr>
            <w:tcW w:w="855" w:type="pct"/>
            <w:vAlign w:val="center"/>
          </w:tcPr>
          <w:p w:rsidR="00D61AAA" w:rsidRPr="00C072CE" w:rsidRDefault="00D61AAA" w:rsidP="00AB2066">
            <w:pPr>
              <w:jc w:val="center"/>
            </w:pPr>
            <w:r w:rsidRPr="00C072CE">
              <w:t>Баллы</w:t>
            </w:r>
          </w:p>
        </w:tc>
        <w:tc>
          <w:tcPr>
            <w:tcW w:w="1425" w:type="pct"/>
          </w:tcPr>
          <w:p w:rsidR="00D61AAA" w:rsidRPr="00C072CE" w:rsidRDefault="00D61AAA" w:rsidP="00AB2066">
            <w:pPr>
              <w:jc w:val="center"/>
            </w:pPr>
            <w:r w:rsidRPr="00C072CE">
              <w:t xml:space="preserve">Значение показателя с учетом корректировки на коэффициент значимости показателя </w:t>
            </w:r>
          </w:p>
        </w:tc>
      </w:tr>
      <w:tr w:rsidR="00D61AAA" w:rsidRPr="00C072CE" w:rsidTr="00AB2066">
        <w:tc>
          <w:tcPr>
            <w:tcW w:w="2720" w:type="pct"/>
            <w:vAlign w:val="center"/>
          </w:tcPr>
          <w:p w:rsidR="00D61AAA" w:rsidRPr="00C072CE" w:rsidRDefault="00D61AAA" w:rsidP="00AB2066">
            <w:pPr>
              <w:jc w:val="center"/>
            </w:pPr>
            <w:r w:rsidRPr="00C072CE">
              <w:t>28 и более</w:t>
            </w:r>
          </w:p>
        </w:tc>
        <w:tc>
          <w:tcPr>
            <w:tcW w:w="855" w:type="pct"/>
            <w:vAlign w:val="center"/>
          </w:tcPr>
          <w:p w:rsidR="00D61AAA" w:rsidRPr="00C072CE" w:rsidRDefault="00D61AAA" w:rsidP="00AB2066">
            <w:pPr>
              <w:jc w:val="center"/>
            </w:pPr>
            <w:r w:rsidRPr="00C072CE">
              <w:t>100</w:t>
            </w:r>
          </w:p>
        </w:tc>
        <w:tc>
          <w:tcPr>
            <w:tcW w:w="1425" w:type="pct"/>
          </w:tcPr>
          <w:p w:rsidR="00D61AAA" w:rsidRPr="00C072CE" w:rsidRDefault="00D61AAA" w:rsidP="00AB2066">
            <w:pPr>
              <w:jc w:val="center"/>
            </w:pPr>
            <w:r w:rsidRPr="00C072CE">
              <w:rPr>
                <w:b/>
              </w:rPr>
              <w:t>60</w:t>
            </w:r>
            <w:r w:rsidRPr="00C072CE">
              <w:t xml:space="preserve"> (100 х 0,60)</w:t>
            </w:r>
          </w:p>
        </w:tc>
      </w:tr>
      <w:tr w:rsidR="00D61AAA" w:rsidRPr="00C072CE" w:rsidTr="00AB2066">
        <w:tc>
          <w:tcPr>
            <w:tcW w:w="2720" w:type="pct"/>
            <w:vAlign w:val="center"/>
          </w:tcPr>
          <w:p w:rsidR="00D61AAA" w:rsidRPr="00C072CE" w:rsidRDefault="00D61AAA" w:rsidP="00AB2066">
            <w:pPr>
              <w:jc w:val="center"/>
            </w:pPr>
            <w:r w:rsidRPr="00C072CE">
              <w:t>от 20 до 27 (включительно)</w:t>
            </w:r>
          </w:p>
        </w:tc>
        <w:tc>
          <w:tcPr>
            <w:tcW w:w="855" w:type="pct"/>
            <w:vAlign w:val="center"/>
          </w:tcPr>
          <w:p w:rsidR="00D61AAA" w:rsidRPr="00C072CE" w:rsidRDefault="00D61AAA" w:rsidP="00AB2066">
            <w:pPr>
              <w:jc w:val="center"/>
            </w:pPr>
            <w:r w:rsidRPr="00C072CE">
              <w:t>60</w:t>
            </w:r>
          </w:p>
        </w:tc>
        <w:tc>
          <w:tcPr>
            <w:tcW w:w="1425" w:type="pct"/>
          </w:tcPr>
          <w:p w:rsidR="00D61AAA" w:rsidRPr="00C072CE" w:rsidRDefault="00D61AAA" w:rsidP="00AB2066">
            <w:pPr>
              <w:jc w:val="center"/>
            </w:pPr>
            <w:r w:rsidRPr="00C072CE">
              <w:rPr>
                <w:b/>
              </w:rPr>
              <w:t>36</w:t>
            </w:r>
            <w:r w:rsidRPr="00C072CE">
              <w:t xml:space="preserve"> (60 х 0,60)</w:t>
            </w:r>
          </w:p>
        </w:tc>
      </w:tr>
      <w:tr w:rsidR="00D61AAA" w:rsidRPr="00C072CE" w:rsidTr="00AB2066">
        <w:tc>
          <w:tcPr>
            <w:tcW w:w="2720" w:type="pct"/>
            <w:vAlign w:val="center"/>
          </w:tcPr>
          <w:p w:rsidR="00D61AAA" w:rsidRPr="00C072CE" w:rsidRDefault="00D61AAA" w:rsidP="00AB2066">
            <w:pPr>
              <w:jc w:val="center"/>
            </w:pPr>
            <w:r w:rsidRPr="00C072CE">
              <w:lastRenderedPageBreak/>
              <w:t>от 10 до 19 (включительно)</w:t>
            </w:r>
          </w:p>
        </w:tc>
        <w:tc>
          <w:tcPr>
            <w:tcW w:w="855" w:type="pct"/>
            <w:vAlign w:val="center"/>
          </w:tcPr>
          <w:p w:rsidR="00D61AAA" w:rsidRPr="00C072CE" w:rsidRDefault="00D61AAA" w:rsidP="00AB2066">
            <w:pPr>
              <w:jc w:val="center"/>
            </w:pPr>
            <w:r w:rsidRPr="00C072CE">
              <w:t>30</w:t>
            </w:r>
          </w:p>
        </w:tc>
        <w:tc>
          <w:tcPr>
            <w:tcW w:w="1425" w:type="pct"/>
          </w:tcPr>
          <w:p w:rsidR="00D61AAA" w:rsidRPr="00C072CE" w:rsidRDefault="00D61AAA" w:rsidP="00AB2066">
            <w:pPr>
              <w:jc w:val="center"/>
            </w:pPr>
            <w:r w:rsidRPr="00C072CE">
              <w:rPr>
                <w:b/>
              </w:rPr>
              <w:t>18</w:t>
            </w:r>
            <w:r w:rsidRPr="00C072CE">
              <w:t xml:space="preserve"> (30 х 0,60)</w:t>
            </w:r>
          </w:p>
        </w:tc>
      </w:tr>
      <w:tr w:rsidR="00D61AAA" w:rsidRPr="00C072CE" w:rsidTr="00AB2066">
        <w:tc>
          <w:tcPr>
            <w:tcW w:w="2720" w:type="pct"/>
            <w:vAlign w:val="center"/>
          </w:tcPr>
          <w:p w:rsidR="00D61AAA" w:rsidRPr="00C072CE" w:rsidRDefault="00D61AAA" w:rsidP="00AB2066">
            <w:pPr>
              <w:jc w:val="center"/>
            </w:pPr>
            <w:r w:rsidRPr="00C072CE">
              <w:t>менее 10</w:t>
            </w:r>
          </w:p>
        </w:tc>
        <w:tc>
          <w:tcPr>
            <w:tcW w:w="855" w:type="pct"/>
            <w:vAlign w:val="center"/>
          </w:tcPr>
          <w:p w:rsidR="00D61AAA" w:rsidRPr="00C072CE" w:rsidRDefault="00D61AAA" w:rsidP="00AB2066">
            <w:pPr>
              <w:jc w:val="center"/>
            </w:pPr>
            <w:r w:rsidRPr="00C072CE">
              <w:t>0</w:t>
            </w:r>
          </w:p>
        </w:tc>
        <w:tc>
          <w:tcPr>
            <w:tcW w:w="1425" w:type="pct"/>
          </w:tcPr>
          <w:p w:rsidR="00D61AAA" w:rsidRPr="00C072CE" w:rsidRDefault="00D61AAA" w:rsidP="00AB2066">
            <w:pPr>
              <w:jc w:val="center"/>
            </w:pPr>
            <w:r w:rsidRPr="00C072CE">
              <w:rPr>
                <w:b/>
              </w:rPr>
              <w:t>0</w:t>
            </w:r>
            <w:r w:rsidRPr="00C072CE">
              <w:t xml:space="preserve"> (0 х 0,60)</w:t>
            </w:r>
          </w:p>
        </w:tc>
      </w:tr>
    </w:tbl>
    <w:p w:rsidR="00D61AAA" w:rsidRPr="00C072CE" w:rsidRDefault="00D61AAA" w:rsidP="00D61AAA">
      <w:pPr>
        <w:keepNext/>
        <w:keepLines/>
        <w:shd w:val="clear" w:color="auto" w:fill="FFFFFF"/>
        <w:ind w:firstLine="6"/>
      </w:pPr>
    </w:p>
    <w:p w:rsidR="00D61AAA" w:rsidRPr="00C072CE" w:rsidRDefault="00D61AAA" w:rsidP="00D61AAA">
      <w:pPr>
        <w:rPr>
          <w:b/>
          <w:bCs/>
        </w:rPr>
      </w:pPr>
      <w:r w:rsidRPr="00C072CE">
        <w:rPr>
          <w:b/>
          <w:bCs/>
        </w:rPr>
        <w:t>Подтверждающие документы:</w:t>
      </w:r>
    </w:p>
    <w:p w:rsidR="00D61AAA" w:rsidRPr="00C072CE" w:rsidRDefault="00D61AAA" w:rsidP="00D61AAA">
      <w:pPr>
        <w:rPr>
          <w:bCs/>
        </w:rPr>
      </w:pPr>
      <w:r w:rsidRPr="00C072CE">
        <w:t>- удостоверение частного охранника и свидетельство о присвоении квалификации охранника 6 разряда (для частных охранных предприятий), служебные удостоверения или другой документ, подтверждающий наличие указанного количества работников подписанный уполномоченным лицом (для иных структур), – не менее 4 (четырех) на одну заявленную мобильную группу быстрого реагирования</w:t>
      </w:r>
      <w:r w:rsidRPr="00C072CE">
        <w:rPr>
          <w:rFonts w:eastAsia="Calibri"/>
        </w:rPr>
        <w:t>;</w:t>
      </w:r>
    </w:p>
    <w:p w:rsidR="00D61AAA" w:rsidRPr="00C072CE" w:rsidRDefault="00D61AAA" w:rsidP="00D61AAA">
      <w:pPr>
        <w:rPr>
          <w:bCs/>
        </w:rPr>
      </w:pPr>
      <w:r w:rsidRPr="00C072CE">
        <w:rPr>
          <w:bCs/>
        </w:rPr>
        <w:t xml:space="preserve">- копия разрешения на хранение и использование служебного огнестрельного оружия и патронов к нему, выданного органом внутренних дел </w:t>
      </w:r>
      <w:r w:rsidRPr="00C072CE">
        <w:t>(для частных охранных предприятий)</w:t>
      </w:r>
      <w:r w:rsidRPr="00C072CE">
        <w:rPr>
          <w:bCs/>
        </w:rPr>
        <w:t>, либо справка о подтверждении количества служебного огнестрельного оружия для организаций, подчиняющихся Федеральному закону от 03.07.2016 N 226-ФЗ "О войсках национальной гвардии Российской Федерации" (либо иной документ, подтверждающий количество служебного огнестрельного оружия);</w:t>
      </w:r>
    </w:p>
    <w:p w:rsidR="00D61AAA" w:rsidRPr="00C072CE" w:rsidRDefault="00D61AAA" w:rsidP="00D61AAA">
      <w:pPr>
        <w:rPr>
          <w:bCs/>
        </w:rPr>
      </w:pPr>
      <w:r w:rsidRPr="00C072CE">
        <w:rPr>
          <w:bCs/>
        </w:rPr>
        <w:t xml:space="preserve">- копия паспорта транспортного средства (или СТС) по одному на каждую мобильную группу, либо договор аренды, лизинга или иной документ, подтверждающий право собственности на транспортное средство, либо справка для организаций, подчиняющихся Федеральному закону от 03.07.2016 N 226-ФЗ "О войсках национальной гвардии Российской Федерации" (либо иной документ, подтверждающий количество транспортных </w:t>
      </w:r>
      <w:proofErr w:type="spellStart"/>
      <w:r w:rsidRPr="00C072CE">
        <w:rPr>
          <w:bCs/>
        </w:rPr>
        <w:t>соедств</w:t>
      </w:r>
      <w:proofErr w:type="spellEnd"/>
      <w:r w:rsidRPr="00C072CE">
        <w:rPr>
          <w:bCs/>
        </w:rPr>
        <w:t>);</w:t>
      </w:r>
    </w:p>
    <w:p w:rsidR="00D61AAA" w:rsidRPr="00C072CE" w:rsidRDefault="00D61AAA" w:rsidP="00D61AAA">
      <w:pPr>
        <w:rPr>
          <w:bCs/>
        </w:rPr>
      </w:pPr>
      <w:r w:rsidRPr="00C072CE">
        <w:rPr>
          <w:bCs/>
        </w:rPr>
        <w:t xml:space="preserve">Документы должны быть представлены на каждую заявленную </w:t>
      </w:r>
      <w:r w:rsidRPr="00C072CE">
        <w:rPr>
          <w:rFonts w:eastAsia="Calibri"/>
        </w:rPr>
        <w:t>мобильную группу быстрого реагирования.</w:t>
      </w:r>
    </w:p>
    <w:p w:rsidR="00D61AAA" w:rsidRPr="00C072CE" w:rsidRDefault="00D61AAA" w:rsidP="00D61AAA">
      <w:pPr>
        <w:rPr>
          <w:b/>
        </w:rPr>
      </w:pPr>
      <w:r w:rsidRPr="00C072CE">
        <w:rPr>
          <w:b/>
        </w:rPr>
        <w:t xml:space="preserve">2.2. </w:t>
      </w:r>
      <w:r w:rsidRPr="00C072CE">
        <w:rPr>
          <w:b/>
          <w:bCs/>
        </w:rPr>
        <w:t xml:space="preserve">Наличие у участника закупки </w:t>
      </w:r>
      <w:r w:rsidRPr="00C072CE">
        <w:rPr>
          <w:rFonts w:cs="Arial"/>
          <w:b/>
        </w:rPr>
        <w:t>пунктов централизованной охраны в Красноярском крае</w:t>
      </w:r>
      <w:r w:rsidRPr="00C072CE">
        <w:rPr>
          <w:b/>
        </w:rPr>
        <w:t>.</w:t>
      </w:r>
    </w:p>
    <w:p w:rsidR="00D61AAA" w:rsidRPr="00C072CE" w:rsidRDefault="00D61AAA" w:rsidP="00D61AAA">
      <w:pPr>
        <w:shd w:val="clear" w:color="auto" w:fill="FFFFFF"/>
      </w:pPr>
      <w:r w:rsidRPr="00C072CE">
        <w:t>Значимость показателя критерия оценки - 40%.</w:t>
      </w:r>
    </w:p>
    <w:p w:rsidR="00D61AAA" w:rsidRPr="00C072CE" w:rsidRDefault="00D61AAA" w:rsidP="00D61AAA">
      <w:pPr>
        <w:shd w:val="clear" w:color="auto" w:fill="FFFFFF"/>
      </w:pPr>
    </w:p>
    <w:p w:rsidR="00D61AAA" w:rsidRPr="00C072CE" w:rsidRDefault="00D61AAA" w:rsidP="00D61AAA">
      <w:pPr>
        <w:rPr>
          <w:bCs/>
        </w:rPr>
      </w:pPr>
      <w:r w:rsidRPr="00C072CE">
        <w:t xml:space="preserve">Оценивается квалификация Участника по количеству пунктов централизованной охраны (наблюдения) в Красноярском крае. </w:t>
      </w:r>
      <w:r w:rsidRPr="00C072CE">
        <w:rPr>
          <w:bCs/>
          <w:iCs/>
        </w:rPr>
        <w:t xml:space="preserve">Пункт централизованной охраны (ПЦО) – диспетчерский пункт для организации и обеспечения централизованной охраны объекта с помощью технических средств охраны, подключаемых к системам передачи извещений. </w:t>
      </w:r>
      <w:r w:rsidRPr="00C072CE">
        <w:rPr>
          <w:bCs/>
          <w:i/>
        </w:rPr>
        <w:t>Подтверждающие документы</w:t>
      </w:r>
      <w:r w:rsidRPr="00C072CE">
        <w:rPr>
          <w:bCs/>
        </w:rPr>
        <w:t>:</w:t>
      </w:r>
    </w:p>
    <w:p w:rsidR="00D61AAA" w:rsidRPr="00C072CE" w:rsidRDefault="00D61AAA" w:rsidP="00D61AAA">
      <w:pPr>
        <w:shd w:val="clear" w:color="auto" w:fill="FFFFFF"/>
      </w:pPr>
      <w:r w:rsidRPr="00C072CE">
        <w:rPr>
          <w:bCs/>
          <w:iCs/>
        </w:rPr>
        <w:t>Документы с указанием адресов ПЦО, подписанные уполномоченным лицом.</w:t>
      </w:r>
    </w:p>
    <w:p w:rsidR="00D61AAA" w:rsidRPr="00C072CE" w:rsidRDefault="00D61AAA" w:rsidP="00D61AAA">
      <w:pPr>
        <w:keepNext/>
        <w:keepLines/>
        <w:shd w:val="clear" w:color="auto" w:fill="FFFFFF"/>
        <w:ind w:firstLine="6"/>
        <w:rPr>
          <w:i/>
        </w:rPr>
      </w:pPr>
    </w:p>
    <w:p w:rsidR="00D61AAA" w:rsidRPr="00C072CE" w:rsidRDefault="00D61AAA" w:rsidP="00D61AAA">
      <w:pPr>
        <w:keepNext/>
        <w:keepLines/>
        <w:shd w:val="clear" w:color="auto" w:fill="FFFFFF"/>
        <w:tabs>
          <w:tab w:val="left" w:pos="444"/>
        </w:tabs>
        <w:ind w:firstLine="6"/>
        <w:rPr>
          <w:b/>
        </w:rPr>
      </w:pPr>
      <w:r w:rsidRPr="00C072CE">
        <w:rPr>
          <w:b/>
        </w:rPr>
        <w:t>Порядок присуждения баллов по показателю: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7"/>
        <w:gridCol w:w="1420"/>
        <w:gridCol w:w="3018"/>
      </w:tblGrid>
      <w:tr w:rsidR="00D61AAA" w:rsidRPr="00C072CE" w:rsidTr="00AB2066">
        <w:tc>
          <w:tcPr>
            <w:tcW w:w="2624" w:type="pct"/>
            <w:vAlign w:val="center"/>
          </w:tcPr>
          <w:p w:rsidR="00D61AAA" w:rsidRPr="00C072CE" w:rsidRDefault="00D61AAA" w:rsidP="00AB2066">
            <w:pPr>
              <w:jc w:val="center"/>
              <w:rPr>
                <w:rFonts w:eastAsia="Calibri"/>
              </w:rPr>
            </w:pPr>
            <w:r w:rsidRPr="00C072CE">
              <w:rPr>
                <w:rFonts w:eastAsia="Calibri"/>
              </w:rPr>
              <w:t>Количество пунктов централизованной охраны</w:t>
            </w:r>
          </w:p>
          <w:p w:rsidR="00D61AAA" w:rsidRPr="00C072CE" w:rsidRDefault="00D61AAA" w:rsidP="00AB2066">
            <w:pPr>
              <w:jc w:val="center"/>
            </w:pPr>
            <w:r w:rsidRPr="00C072CE">
              <w:rPr>
                <w:rFonts w:eastAsia="Calibri"/>
              </w:rPr>
              <w:t xml:space="preserve"> в Красноярском крае, шт.</w:t>
            </w:r>
          </w:p>
        </w:tc>
        <w:tc>
          <w:tcPr>
            <w:tcW w:w="760" w:type="pct"/>
            <w:vAlign w:val="center"/>
          </w:tcPr>
          <w:p w:rsidR="00D61AAA" w:rsidRPr="00C072CE" w:rsidRDefault="00D61AAA" w:rsidP="00AB2066">
            <w:pPr>
              <w:jc w:val="center"/>
            </w:pPr>
            <w:r w:rsidRPr="00C072CE">
              <w:t>Баллы</w:t>
            </w:r>
          </w:p>
        </w:tc>
        <w:tc>
          <w:tcPr>
            <w:tcW w:w="1615" w:type="pct"/>
          </w:tcPr>
          <w:p w:rsidR="00D61AAA" w:rsidRPr="00C072CE" w:rsidRDefault="00D61AAA" w:rsidP="00AB2066">
            <w:pPr>
              <w:jc w:val="center"/>
            </w:pPr>
            <w:r w:rsidRPr="00C072CE">
              <w:t>Значение показателя с учетом корректировки на коэффициент значимости показателя</w:t>
            </w:r>
          </w:p>
        </w:tc>
      </w:tr>
      <w:tr w:rsidR="00D61AAA" w:rsidRPr="00C072CE" w:rsidTr="00AB2066">
        <w:tc>
          <w:tcPr>
            <w:tcW w:w="2624" w:type="pct"/>
            <w:vAlign w:val="center"/>
          </w:tcPr>
          <w:p w:rsidR="00D61AAA" w:rsidRPr="00C072CE" w:rsidRDefault="00D61AAA" w:rsidP="00AB2066">
            <w:pPr>
              <w:jc w:val="center"/>
            </w:pPr>
            <w:r w:rsidRPr="00C072CE">
              <w:t>28 и более</w:t>
            </w:r>
          </w:p>
        </w:tc>
        <w:tc>
          <w:tcPr>
            <w:tcW w:w="760" w:type="pct"/>
            <w:vAlign w:val="center"/>
          </w:tcPr>
          <w:p w:rsidR="00D61AAA" w:rsidRPr="00C072CE" w:rsidRDefault="00D61AAA" w:rsidP="00AB2066">
            <w:pPr>
              <w:jc w:val="center"/>
            </w:pPr>
            <w:r w:rsidRPr="00C072CE">
              <w:t>100</w:t>
            </w:r>
          </w:p>
        </w:tc>
        <w:tc>
          <w:tcPr>
            <w:tcW w:w="1615" w:type="pct"/>
          </w:tcPr>
          <w:p w:rsidR="00D61AAA" w:rsidRPr="00C072CE" w:rsidRDefault="00D61AAA" w:rsidP="00AB2066">
            <w:pPr>
              <w:jc w:val="center"/>
            </w:pPr>
            <w:r w:rsidRPr="00C072CE">
              <w:rPr>
                <w:b/>
              </w:rPr>
              <w:t>40</w:t>
            </w:r>
            <w:r w:rsidRPr="00C072CE">
              <w:t xml:space="preserve"> (100 х 0,40)</w:t>
            </w:r>
          </w:p>
        </w:tc>
      </w:tr>
      <w:tr w:rsidR="00D61AAA" w:rsidRPr="00C072CE" w:rsidTr="00AB2066">
        <w:tc>
          <w:tcPr>
            <w:tcW w:w="2624" w:type="pct"/>
            <w:vAlign w:val="center"/>
          </w:tcPr>
          <w:p w:rsidR="00D61AAA" w:rsidRPr="00C072CE" w:rsidRDefault="00D61AAA" w:rsidP="00AB2066">
            <w:pPr>
              <w:jc w:val="center"/>
            </w:pPr>
            <w:r w:rsidRPr="00C072CE">
              <w:t>от 20 до 27 (включительно)</w:t>
            </w:r>
          </w:p>
        </w:tc>
        <w:tc>
          <w:tcPr>
            <w:tcW w:w="760" w:type="pct"/>
            <w:vAlign w:val="center"/>
          </w:tcPr>
          <w:p w:rsidR="00D61AAA" w:rsidRPr="00C072CE" w:rsidRDefault="00D61AAA" w:rsidP="00AB2066">
            <w:pPr>
              <w:jc w:val="center"/>
            </w:pPr>
            <w:r w:rsidRPr="00C072CE">
              <w:t>60</w:t>
            </w:r>
          </w:p>
        </w:tc>
        <w:tc>
          <w:tcPr>
            <w:tcW w:w="1615" w:type="pct"/>
          </w:tcPr>
          <w:p w:rsidR="00D61AAA" w:rsidRPr="00C072CE" w:rsidRDefault="00D61AAA" w:rsidP="00AB2066">
            <w:pPr>
              <w:jc w:val="center"/>
            </w:pPr>
            <w:r w:rsidRPr="00C072CE">
              <w:rPr>
                <w:b/>
              </w:rPr>
              <w:t>24</w:t>
            </w:r>
            <w:r w:rsidRPr="00C072CE">
              <w:t xml:space="preserve"> (60 х 0,40)</w:t>
            </w:r>
          </w:p>
        </w:tc>
      </w:tr>
      <w:tr w:rsidR="00D61AAA" w:rsidRPr="00C072CE" w:rsidTr="00AB2066">
        <w:tc>
          <w:tcPr>
            <w:tcW w:w="2624" w:type="pct"/>
            <w:vAlign w:val="center"/>
          </w:tcPr>
          <w:p w:rsidR="00D61AAA" w:rsidRPr="00C072CE" w:rsidRDefault="00D61AAA" w:rsidP="00AB2066">
            <w:pPr>
              <w:jc w:val="center"/>
            </w:pPr>
            <w:r w:rsidRPr="00C072CE">
              <w:t>от 10 до 19 (включительно)</w:t>
            </w:r>
          </w:p>
        </w:tc>
        <w:tc>
          <w:tcPr>
            <w:tcW w:w="760" w:type="pct"/>
            <w:vAlign w:val="center"/>
          </w:tcPr>
          <w:p w:rsidR="00D61AAA" w:rsidRPr="00C072CE" w:rsidRDefault="00D61AAA" w:rsidP="00AB2066">
            <w:pPr>
              <w:jc w:val="center"/>
            </w:pPr>
            <w:r w:rsidRPr="00C072CE">
              <w:t>30</w:t>
            </w:r>
          </w:p>
        </w:tc>
        <w:tc>
          <w:tcPr>
            <w:tcW w:w="1615" w:type="pct"/>
          </w:tcPr>
          <w:p w:rsidR="00D61AAA" w:rsidRPr="00C072CE" w:rsidRDefault="00D61AAA" w:rsidP="00AB2066">
            <w:pPr>
              <w:jc w:val="center"/>
            </w:pPr>
            <w:r w:rsidRPr="00C072CE">
              <w:rPr>
                <w:b/>
              </w:rPr>
              <w:t>12</w:t>
            </w:r>
            <w:r w:rsidRPr="00C072CE">
              <w:t xml:space="preserve"> (30 х 0,40)</w:t>
            </w:r>
          </w:p>
        </w:tc>
      </w:tr>
      <w:tr w:rsidR="00D61AAA" w:rsidRPr="00C072CE" w:rsidTr="00AB2066">
        <w:tc>
          <w:tcPr>
            <w:tcW w:w="2624" w:type="pct"/>
            <w:vAlign w:val="center"/>
          </w:tcPr>
          <w:p w:rsidR="00D61AAA" w:rsidRPr="00C072CE" w:rsidRDefault="00D61AAA" w:rsidP="00AB2066">
            <w:pPr>
              <w:jc w:val="center"/>
            </w:pPr>
            <w:r w:rsidRPr="00C072CE">
              <w:t>менее 10</w:t>
            </w:r>
          </w:p>
        </w:tc>
        <w:tc>
          <w:tcPr>
            <w:tcW w:w="760" w:type="pct"/>
            <w:vAlign w:val="center"/>
          </w:tcPr>
          <w:p w:rsidR="00D61AAA" w:rsidRPr="00C072CE" w:rsidRDefault="00D61AAA" w:rsidP="00AB2066">
            <w:pPr>
              <w:jc w:val="center"/>
            </w:pPr>
            <w:r w:rsidRPr="00C072CE">
              <w:t>0</w:t>
            </w:r>
          </w:p>
        </w:tc>
        <w:tc>
          <w:tcPr>
            <w:tcW w:w="1615" w:type="pct"/>
          </w:tcPr>
          <w:p w:rsidR="00D61AAA" w:rsidRPr="00C072CE" w:rsidRDefault="00D61AAA" w:rsidP="00AB2066">
            <w:pPr>
              <w:jc w:val="center"/>
            </w:pPr>
            <w:r w:rsidRPr="00C072CE">
              <w:rPr>
                <w:b/>
              </w:rPr>
              <w:t>0</w:t>
            </w:r>
            <w:r w:rsidRPr="00C072CE">
              <w:t xml:space="preserve"> (0 х 0,40)</w:t>
            </w:r>
          </w:p>
        </w:tc>
      </w:tr>
    </w:tbl>
    <w:p w:rsidR="006D51B8" w:rsidRDefault="006D51B8">
      <w:bookmarkStart w:id="0" w:name="_GoBack"/>
      <w:bookmarkEnd w:id="0"/>
    </w:p>
    <w:sectPr w:rsidR="006D5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E110E"/>
    <w:multiLevelType w:val="hybridMultilevel"/>
    <w:tmpl w:val="74489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AA"/>
    <w:rsid w:val="00017091"/>
    <w:rsid w:val="00074696"/>
    <w:rsid w:val="0008300B"/>
    <w:rsid w:val="00090642"/>
    <w:rsid w:val="000B2117"/>
    <w:rsid w:val="000F02D2"/>
    <w:rsid w:val="000F5D6A"/>
    <w:rsid w:val="00100275"/>
    <w:rsid w:val="00100336"/>
    <w:rsid w:val="00105600"/>
    <w:rsid w:val="00125C62"/>
    <w:rsid w:val="001D6B58"/>
    <w:rsid w:val="00241718"/>
    <w:rsid w:val="00243541"/>
    <w:rsid w:val="00251587"/>
    <w:rsid w:val="00286647"/>
    <w:rsid w:val="0031506D"/>
    <w:rsid w:val="00315157"/>
    <w:rsid w:val="00352230"/>
    <w:rsid w:val="003E2C45"/>
    <w:rsid w:val="003E59D2"/>
    <w:rsid w:val="00440C08"/>
    <w:rsid w:val="004526B2"/>
    <w:rsid w:val="004A1018"/>
    <w:rsid w:val="00502EB7"/>
    <w:rsid w:val="0050510F"/>
    <w:rsid w:val="00506A6E"/>
    <w:rsid w:val="0057505B"/>
    <w:rsid w:val="005D52C2"/>
    <w:rsid w:val="005F5C41"/>
    <w:rsid w:val="00635A66"/>
    <w:rsid w:val="006C4EF4"/>
    <w:rsid w:val="006D51B8"/>
    <w:rsid w:val="00763A03"/>
    <w:rsid w:val="0077171C"/>
    <w:rsid w:val="00781DEA"/>
    <w:rsid w:val="0087288E"/>
    <w:rsid w:val="008B0EEF"/>
    <w:rsid w:val="008B7AEE"/>
    <w:rsid w:val="009024C5"/>
    <w:rsid w:val="0091751E"/>
    <w:rsid w:val="00975CE9"/>
    <w:rsid w:val="00A85BBD"/>
    <w:rsid w:val="00AF1E4C"/>
    <w:rsid w:val="00B7476D"/>
    <w:rsid w:val="00BF233F"/>
    <w:rsid w:val="00C9680A"/>
    <w:rsid w:val="00D61AAA"/>
    <w:rsid w:val="00D91458"/>
    <w:rsid w:val="00DC6BFA"/>
    <w:rsid w:val="00E21BF7"/>
    <w:rsid w:val="00E31A64"/>
    <w:rsid w:val="00E5701C"/>
    <w:rsid w:val="00E64034"/>
    <w:rsid w:val="00E83346"/>
    <w:rsid w:val="00F13C1C"/>
    <w:rsid w:val="00F54BC7"/>
    <w:rsid w:val="00F7353B"/>
    <w:rsid w:val="00FB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B90CD-D936-4044-8673-A72CF64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AAA"/>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D61AAA"/>
    <w:pPr>
      <w:tabs>
        <w:tab w:val="num" w:pos="567"/>
      </w:tabs>
      <w:spacing w:after="60"/>
      <w:ind w:left="567" w:hanging="567"/>
    </w:pPr>
    <w:rPr>
      <w:szCs w:val="20"/>
    </w:rPr>
  </w:style>
  <w:style w:type="character" w:customStyle="1" w:styleId="20">
    <w:name w:val="Основной текст 2 Знак"/>
    <w:basedOn w:val="a0"/>
    <w:link w:val="2"/>
    <w:semiHidden/>
    <w:rsid w:val="00D61AA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Колокольников Дмитрий Анатольевич</dc:creator>
  <cp:keywords/>
  <dc:description/>
  <cp:lastModifiedBy>Колокольников Дмитрий Анатольевич</cp:lastModifiedBy>
  <cp:revision>1</cp:revision>
  <dcterms:created xsi:type="dcterms:W3CDTF">2020-12-01T08:03:00Z</dcterms:created>
  <dcterms:modified xsi:type="dcterms:W3CDTF">2020-12-01T08:03:00Z</dcterms:modified>
</cp:coreProperties>
</file>