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C72743" w:rsidRPr="0042639F" w:rsidRDefault="00E12352" w:rsidP="00C72743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4521EE">
              <w:rPr>
                <w:b/>
              </w:rPr>
              <w:t xml:space="preserve">на </w:t>
            </w:r>
            <w:r w:rsidR="004521EE" w:rsidRPr="004521EE">
              <w:rPr>
                <w:b/>
              </w:rPr>
              <w:t>в</w:t>
            </w:r>
            <w:r w:rsidR="004521EE" w:rsidRPr="004521EE">
              <w:rPr>
                <w:b/>
                <w:bCs/>
              </w:rPr>
              <w:t xml:space="preserve">ыполнение работ по изготовлению </w:t>
            </w:r>
            <w:r w:rsidR="00C72743">
              <w:rPr>
                <w:rFonts w:cs="Times New Roman"/>
                <w:b/>
                <w:bCs/>
              </w:rPr>
              <w:t>протезов нижних конечностей</w:t>
            </w:r>
          </w:p>
          <w:p w:rsidR="0025406F" w:rsidRPr="004521EE" w:rsidRDefault="00C72743" w:rsidP="00C72743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для обеспечения инвалидов</w:t>
            </w:r>
            <w:r w:rsidRPr="001C6872">
              <w:rPr>
                <w:rFonts w:cs="Times New Roman"/>
                <w:b/>
                <w:bCs/>
              </w:rPr>
              <w:t xml:space="preserve"> в 2021 году</w:t>
            </w:r>
            <w:r w:rsidR="004521EE" w:rsidRPr="004521EE">
              <w:rPr>
                <w:b/>
                <w:bCs/>
              </w:rPr>
              <w:t>.</w:t>
            </w:r>
          </w:p>
          <w:p w:rsidR="004521EE" w:rsidRPr="00EB03E4" w:rsidRDefault="004521EE" w:rsidP="004521EE">
            <w:pPr>
              <w:keepLine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832587" w:rsidP="00832587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            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="0025406F"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</w:t>
            </w:r>
            <w:r w:rsidR="006A7B94">
              <w:rPr>
                <w:bCs/>
              </w:rPr>
              <w:t>в</w:t>
            </w:r>
            <w:r w:rsidR="006A7B94" w:rsidRPr="00195E55">
              <w:rPr>
                <w:bCs/>
              </w:rPr>
              <w:t xml:space="preserve">ыполнение работ по изготовлению </w:t>
            </w:r>
            <w:r w:rsidRPr="007B1284">
              <w:rPr>
                <w:rFonts w:cs="Times New Roman"/>
                <w:bCs/>
              </w:rPr>
              <w:t>протезов нижних конечностей</w:t>
            </w:r>
            <w:r w:rsidR="0025406F" w:rsidRPr="007B1284">
              <w:rPr>
                <w:rFonts w:eastAsia="Times New Roman" w:cs="Times New Roman"/>
                <w:lang w:eastAsia="ar-SA"/>
              </w:rPr>
              <w:t>), исчисляемый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в количестве предоставленных </w:t>
            </w:r>
            <w:r w:rsidR="007C4BEC" w:rsidRPr="007B1284">
              <w:rPr>
                <w:rFonts w:cs="Times New Roman"/>
                <w:bCs/>
              </w:rPr>
              <w:t>протезов нижних конечностей</w:t>
            </w:r>
            <w:r w:rsidR="00A31474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="0025406F"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A2269C">
              <w:rPr>
                <w:rFonts w:eastAsia="Times New Roman" w:cs="Times New Roman"/>
                <w:lang w:eastAsia="ar-SA"/>
              </w:rPr>
              <w:t>8</w:t>
            </w:r>
            <w:r w:rsidR="00566849">
              <w:rPr>
                <w:rFonts w:eastAsia="Times New Roman" w:cs="Times New Roman"/>
                <w:lang w:eastAsia="ar-SA"/>
              </w:rPr>
              <w:t xml:space="preserve">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5010C4">
              <w:rPr>
                <w:rFonts w:eastAsia="Times New Roman" w:cs="Times New Roman"/>
                <w:lang w:eastAsia="ar-SA"/>
              </w:rPr>
              <w:t>о</w:t>
            </w:r>
            <w:r w:rsidRPr="00EB03E4">
              <w:rPr>
                <w:rFonts w:eastAsia="Times New Roman" w:cs="Times New Roman"/>
                <w:lang w:eastAsia="ar-SA"/>
              </w:rPr>
              <w:t xml:space="preserve">м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663DF4" w:rsidRPr="00C51A53" w:rsidRDefault="0025406F" w:rsidP="00663DF4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 xml:space="preserve">Предельное необходимое максимальное значение показателя – </w:t>
            </w:r>
            <w:r w:rsidR="00786E50">
              <w:rPr>
                <w:rFonts w:eastAsia="Times New Roman" w:cs="Times New Roman"/>
                <w:lang w:eastAsia="ar-SA"/>
              </w:rPr>
              <w:t>40</w:t>
            </w:r>
            <w:r w:rsidR="004C6FE4">
              <w:rPr>
                <w:rFonts w:eastAsia="Times New Roman" w:cs="Times New Roman"/>
                <w:lang w:eastAsia="ar-SA"/>
              </w:rPr>
              <w:t xml:space="preserve"> </w:t>
            </w:r>
            <w:r w:rsidR="00663DF4" w:rsidRPr="00EE362E">
              <w:rPr>
                <w:lang w:eastAsia="ar-SA"/>
              </w:rPr>
              <w:t>(</w:t>
            </w:r>
            <w:r w:rsidR="00786E50">
              <w:rPr>
                <w:lang w:eastAsia="ar-SA"/>
              </w:rPr>
              <w:t>сорок</w:t>
            </w:r>
            <w:r w:rsidR="00663DF4" w:rsidRPr="00EE362E">
              <w:rPr>
                <w:lang w:eastAsia="ar-SA"/>
              </w:rPr>
              <w:t xml:space="preserve">) </w:t>
            </w:r>
            <w:r w:rsidR="00663DF4" w:rsidRPr="00B52A5A">
              <w:rPr>
                <w:bCs/>
              </w:rPr>
              <w:t xml:space="preserve">протезов </w:t>
            </w:r>
            <w:r w:rsidR="00312CE7">
              <w:rPr>
                <w:bCs/>
              </w:rPr>
              <w:t>н</w:t>
            </w:r>
            <w:r w:rsidR="00312CE7" w:rsidRPr="007B1284">
              <w:rPr>
                <w:rFonts w:cs="Times New Roman"/>
                <w:bCs/>
              </w:rPr>
              <w:t>ижних конечностей</w:t>
            </w:r>
            <w:r w:rsidR="00663DF4" w:rsidRPr="00C51A53">
              <w:rPr>
                <w:bCs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181F5E" w:rsidRPr="00181F5E">
              <w:rPr>
                <w:rFonts w:eastAsia="Times New Roman" w:cs="Times New Roman"/>
                <w:lang w:eastAsia="ar-SA"/>
              </w:rPr>
              <w:t>:</w:t>
            </w:r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9E1316" w:rsidRPr="007B1284">
              <w:rPr>
                <w:rFonts w:cs="Times New Roman"/>
                <w:bCs/>
              </w:rPr>
              <w:t>протезов нижних конечностей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F617B5" w:rsidRDefault="0025406F" w:rsidP="00F617B5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786E50">
              <w:rPr>
                <w:rFonts w:eastAsia="Times New Roman" w:cs="Times New Roman"/>
                <w:lang w:eastAsia="ar-SA"/>
              </w:rPr>
              <w:t>1 493 981</w:t>
            </w:r>
            <w:r w:rsidR="00F617B5" w:rsidRPr="00855596">
              <w:rPr>
                <w:bCs/>
              </w:rPr>
              <w:t xml:space="preserve"> (</w:t>
            </w:r>
            <w:r w:rsidR="00786E50">
              <w:rPr>
                <w:bCs/>
              </w:rPr>
              <w:t>Один миллион четыреста девяносто три тысячи девятьсот восемьдесят один</w:t>
            </w:r>
            <w:r w:rsidR="00F617B5">
              <w:t>) рубл</w:t>
            </w:r>
            <w:r w:rsidR="00786E50">
              <w:t>ь</w:t>
            </w:r>
            <w:r w:rsidR="00F617B5">
              <w:t xml:space="preserve"> </w:t>
            </w:r>
            <w:r w:rsidR="00786E50">
              <w:t>04</w:t>
            </w:r>
            <w:r w:rsidR="00F617B5" w:rsidRPr="00855596">
              <w:t xml:space="preserve"> копе</w:t>
            </w:r>
            <w:r w:rsidR="00786E50">
              <w:t>йки</w:t>
            </w:r>
            <w:r w:rsidR="00F617B5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316710">
              <w:rPr>
                <w:rFonts w:eastAsia="Times New Roman" w:cs="Times New Roman"/>
                <w:lang w:eastAsia="ar-SA"/>
              </w:rPr>
              <w:t>ом</w:t>
            </w:r>
            <w:r w:rsidRPr="00EB03E4">
              <w:rPr>
                <w:rFonts w:eastAsia="Times New Roman" w:cs="Times New Roman"/>
                <w:lang w:eastAsia="ar-SA"/>
              </w:rPr>
              <w:t xml:space="preserve">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F617B5" w:rsidRDefault="0025406F" w:rsidP="00F617B5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DB2AAC">
              <w:rPr>
                <w:rFonts w:eastAsia="Times New Roman" w:cs="Times New Roman"/>
                <w:lang w:eastAsia="ar-SA"/>
              </w:rPr>
              <w:t xml:space="preserve">7 469 905 </w:t>
            </w:r>
            <w:r w:rsidR="00F617B5" w:rsidRPr="00CA2385">
              <w:rPr>
                <w:lang w:eastAsia="ar-SA"/>
              </w:rPr>
              <w:t>(</w:t>
            </w:r>
            <w:r w:rsidR="00DB2AAC">
              <w:rPr>
                <w:lang w:eastAsia="ar-SA"/>
              </w:rPr>
              <w:t>Семь миллионов четыреста шестьдесят девять тысяч девятьсот пять</w:t>
            </w:r>
            <w:r w:rsidR="00F617B5">
              <w:rPr>
                <w:lang w:eastAsia="ar-SA"/>
              </w:rPr>
              <w:t>)</w:t>
            </w:r>
            <w:r w:rsidR="00F617B5" w:rsidRPr="00CA2385">
              <w:rPr>
                <w:lang w:eastAsia="ar-SA"/>
              </w:rPr>
              <w:t xml:space="preserve"> рубл</w:t>
            </w:r>
            <w:r w:rsidR="00F617B5">
              <w:rPr>
                <w:lang w:eastAsia="ar-SA"/>
              </w:rPr>
              <w:t>ей</w:t>
            </w:r>
            <w:r w:rsidR="00F617B5" w:rsidRPr="00CA2385">
              <w:rPr>
                <w:lang w:eastAsia="ar-SA"/>
              </w:rPr>
              <w:t xml:space="preserve"> </w:t>
            </w:r>
            <w:r w:rsidR="00DB2AAC">
              <w:rPr>
                <w:lang w:eastAsia="ar-SA"/>
              </w:rPr>
              <w:t>20</w:t>
            </w:r>
            <w:bookmarkStart w:id="0" w:name="_GoBack"/>
            <w:bookmarkEnd w:id="0"/>
            <w:r w:rsidR="00F617B5" w:rsidRPr="00CA2385">
              <w:rPr>
                <w:lang w:eastAsia="ar-SA"/>
              </w:rPr>
              <w:t xml:space="preserve"> копеек.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lastRenderedPageBreak/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77547" w:rsidRDefault="00677547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C49FA"/>
    <w:rsid w:val="000D6104"/>
    <w:rsid w:val="000E34A7"/>
    <w:rsid w:val="001016DD"/>
    <w:rsid w:val="00105DEB"/>
    <w:rsid w:val="00107C67"/>
    <w:rsid w:val="0017335A"/>
    <w:rsid w:val="00181F5E"/>
    <w:rsid w:val="001A43F5"/>
    <w:rsid w:val="001D6FEF"/>
    <w:rsid w:val="001D7297"/>
    <w:rsid w:val="00222F3F"/>
    <w:rsid w:val="0024438C"/>
    <w:rsid w:val="00252F64"/>
    <w:rsid w:val="0025406F"/>
    <w:rsid w:val="00273A3F"/>
    <w:rsid w:val="002C2E5F"/>
    <w:rsid w:val="002D5C8E"/>
    <w:rsid w:val="002D742E"/>
    <w:rsid w:val="002F0687"/>
    <w:rsid w:val="00312CE7"/>
    <w:rsid w:val="00316710"/>
    <w:rsid w:val="003311EF"/>
    <w:rsid w:val="00356078"/>
    <w:rsid w:val="0037485E"/>
    <w:rsid w:val="00393921"/>
    <w:rsid w:val="003C4044"/>
    <w:rsid w:val="004268B4"/>
    <w:rsid w:val="00430D4E"/>
    <w:rsid w:val="00435859"/>
    <w:rsid w:val="00447AEA"/>
    <w:rsid w:val="004521EE"/>
    <w:rsid w:val="0048307F"/>
    <w:rsid w:val="004C6FE4"/>
    <w:rsid w:val="005010C4"/>
    <w:rsid w:val="00505E90"/>
    <w:rsid w:val="0054497D"/>
    <w:rsid w:val="00557C12"/>
    <w:rsid w:val="00566849"/>
    <w:rsid w:val="00596BD5"/>
    <w:rsid w:val="005A3DC1"/>
    <w:rsid w:val="005A4F14"/>
    <w:rsid w:val="005B2F82"/>
    <w:rsid w:val="005C3740"/>
    <w:rsid w:val="005D119A"/>
    <w:rsid w:val="005D554D"/>
    <w:rsid w:val="00600D09"/>
    <w:rsid w:val="006046AB"/>
    <w:rsid w:val="00623576"/>
    <w:rsid w:val="00635CCB"/>
    <w:rsid w:val="00663DF4"/>
    <w:rsid w:val="00677547"/>
    <w:rsid w:val="00677D8C"/>
    <w:rsid w:val="00683DA0"/>
    <w:rsid w:val="00697E06"/>
    <w:rsid w:val="006A7B94"/>
    <w:rsid w:val="00715B8B"/>
    <w:rsid w:val="007203B4"/>
    <w:rsid w:val="007205E1"/>
    <w:rsid w:val="00725831"/>
    <w:rsid w:val="0074160A"/>
    <w:rsid w:val="007745A0"/>
    <w:rsid w:val="00786E50"/>
    <w:rsid w:val="007873C3"/>
    <w:rsid w:val="007B0AD1"/>
    <w:rsid w:val="007B0EB6"/>
    <w:rsid w:val="007B1284"/>
    <w:rsid w:val="007B228C"/>
    <w:rsid w:val="007B3630"/>
    <w:rsid w:val="007C4BEC"/>
    <w:rsid w:val="007E4505"/>
    <w:rsid w:val="00816329"/>
    <w:rsid w:val="00832587"/>
    <w:rsid w:val="008569BD"/>
    <w:rsid w:val="00862A86"/>
    <w:rsid w:val="00896C0E"/>
    <w:rsid w:val="008C4DFC"/>
    <w:rsid w:val="008D2C63"/>
    <w:rsid w:val="009103F0"/>
    <w:rsid w:val="009574C8"/>
    <w:rsid w:val="0098546A"/>
    <w:rsid w:val="009B21EE"/>
    <w:rsid w:val="009B5ABC"/>
    <w:rsid w:val="009D110C"/>
    <w:rsid w:val="009E1316"/>
    <w:rsid w:val="00A2269C"/>
    <w:rsid w:val="00A31474"/>
    <w:rsid w:val="00A8243A"/>
    <w:rsid w:val="00AC7453"/>
    <w:rsid w:val="00AF346E"/>
    <w:rsid w:val="00B139B9"/>
    <w:rsid w:val="00B13A04"/>
    <w:rsid w:val="00B232C4"/>
    <w:rsid w:val="00B43F9D"/>
    <w:rsid w:val="00B52A5A"/>
    <w:rsid w:val="00B965EF"/>
    <w:rsid w:val="00BF56CA"/>
    <w:rsid w:val="00C35246"/>
    <w:rsid w:val="00C56BA7"/>
    <w:rsid w:val="00C72743"/>
    <w:rsid w:val="00C809C8"/>
    <w:rsid w:val="00C80C2F"/>
    <w:rsid w:val="00CA2385"/>
    <w:rsid w:val="00CC45B2"/>
    <w:rsid w:val="00CD2C3C"/>
    <w:rsid w:val="00D0418F"/>
    <w:rsid w:val="00DA69C3"/>
    <w:rsid w:val="00DB2AAC"/>
    <w:rsid w:val="00DC2649"/>
    <w:rsid w:val="00DC739E"/>
    <w:rsid w:val="00DD04BD"/>
    <w:rsid w:val="00DD06F2"/>
    <w:rsid w:val="00E12352"/>
    <w:rsid w:val="00E94E48"/>
    <w:rsid w:val="00EB03E4"/>
    <w:rsid w:val="00EE362E"/>
    <w:rsid w:val="00F0135F"/>
    <w:rsid w:val="00F30394"/>
    <w:rsid w:val="00F617B5"/>
    <w:rsid w:val="00FC256E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03B4"/>
    <w:pPr>
      <w:spacing w:after="120"/>
    </w:pPr>
    <w:rPr>
      <w:rFonts w:ascii="Arial" w:hAnsi="Arial" w:cs="Times New Roman"/>
      <w:color w:val="auto"/>
      <w:kern w:val="1"/>
      <w:sz w:val="20"/>
      <w:lang w:bidi="ar-SA"/>
    </w:rPr>
  </w:style>
  <w:style w:type="character" w:customStyle="1" w:styleId="a7">
    <w:name w:val="Основной текст Знак"/>
    <w:basedOn w:val="a0"/>
    <w:link w:val="a6"/>
    <w:rsid w:val="007203B4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C1AF-40AC-4829-AF0B-B0FB9E3A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7600 Добрягина Надежда Александровна</cp:lastModifiedBy>
  <cp:revision>104</cp:revision>
  <cp:lastPrinted>2020-07-06T11:39:00Z</cp:lastPrinted>
  <dcterms:created xsi:type="dcterms:W3CDTF">2020-08-06T12:47:00Z</dcterms:created>
  <dcterms:modified xsi:type="dcterms:W3CDTF">2021-06-30T07:30:00Z</dcterms:modified>
</cp:coreProperties>
</file>