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F3" w:rsidRPr="006A62F3" w:rsidRDefault="006A62F3" w:rsidP="006A6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заявок на участие в открытом конкурсе, в электронной форме величины значимости этих критериев, порядок рассмотрения и оценки заявок на участие в открытом конкурсе </w:t>
      </w:r>
      <w:r w:rsidRPr="006A62F3">
        <w:rPr>
          <w:rFonts w:ascii="Times New Roman" w:hAnsi="Times New Roman" w:cs="Times New Roman"/>
          <w:b/>
          <w:sz w:val="24"/>
          <w:szCs w:val="24"/>
        </w:rPr>
        <w:t xml:space="preserve">на поставку технических средств реабилитации (кресла-коляски с ручным приводом комнатные и прогулочные различных модификаций) для обеспечения инвалидов в 2021г. </w:t>
      </w:r>
    </w:p>
    <w:p w:rsidR="00FC4603" w:rsidRPr="00FC4603" w:rsidRDefault="00FC4603" w:rsidP="005D3B6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1D0551" w:rsidP="001D0551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FC4603" w:rsidRPr="00FC4603">
        <w:rPr>
          <w:rFonts w:ascii="Times New Roman" w:eastAsia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541" w:type="pct"/>
        <w:tblInd w:w="-85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1"/>
        <w:gridCol w:w="2351"/>
        <w:gridCol w:w="1958"/>
        <w:gridCol w:w="1176"/>
        <w:gridCol w:w="1569"/>
        <w:gridCol w:w="1904"/>
      </w:tblGrid>
      <w:tr w:rsidR="00FC4603" w:rsidRPr="00FC4603" w:rsidTr="00163D20">
        <w:trPr>
          <w:trHeight w:hRule="exact" w:val="1084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Значимость критерия в (%)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Коэффициент значимости критерия/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Обозначение рейтинга по критерию/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показателю</w:t>
            </w:r>
          </w:p>
        </w:tc>
      </w:tr>
      <w:tr w:rsidR="00FC4603" w:rsidRPr="00FC4603" w:rsidTr="00163D20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Стоимостный критерий оценки</w:t>
            </w:r>
          </w:p>
        </w:tc>
      </w:tr>
      <w:tr w:rsidR="00FC4603" w:rsidRPr="00FC4603" w:rsidTr="00163D20">
        <w:trPr>
          <w:trHeight w:hRule="exact" w:val="46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Цена контракта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0,70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Ra</w:t>
            </w:r>
          </w:p>
        </w:tc>
      </w:tr>
      <w:tr w:rsidR="00FC4603" w:rsidRPr="00FC4603" w:rsidTr="00163D20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Нестоимостные</w:t>
            </w:r>
            <w:proofErr w:type="spellEnd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критерии оценки</w:t>
            </w:r>
          </w:p>
        </w:tc>
      </w:tr>
      <w:tr w:rsidR="00FC4603" w:rsidRPr="00FC4603" w:rsidTr="00163D20">
        <w:trPr>
          <w:trHeight w:hRule="exact" w:val="3466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0,30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C4603" w:rsidRPr="00FC4603" w:rsidTr="00163D20">
        <w:trPr>
          <w:trHeight w:hRule="exact" w:val="1418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0,40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FC4603" w:rsidRPr="00FC4603" w:rsidTr="00163D20">
        <w:trPr>
          <w:trHeight w:hRule="exact" w:val="1423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FC4603" w:rsidRPr="00FC4603" w:rsidTr="00163D20">
        <w:trPr>
          <w:trHeight w:hRule="exact" w:val="773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AE0A2E" w:rsidRDefault="00AE0A2E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1. Цена контракта.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70 %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0,70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Оценка критерия (баллы) - 100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FC4603" w:rsidRPr="00FC4603" w:rsidRDefault="00FC4603" w:rsidP="00163D20">
      <w:pPr>
        <w:widowControl w:val="0"/>
        <w:numPr>
          <w:ilvl w:val="0"/>
          <w:numId w:val="1"/>
        </w:numPr>
        <w:suppressAutoHyphens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в случае </w:t>
      </w:r>
      <w:proofErr w:type="gramStart"/>
      <w:r w:rsidRPr="00FC4603">
        <w:rPr>
          <w:rFonts w:ascii="Times New Roman" w:eastAsia="Times New Roman" w:hAnsi="Times New Roman" w:cs="Times New Roman"/>
          <w:lang w:eastAsia="ar-SA"/>
        </w:rPr>
        <w:t xml:space="preserve">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F483EF" wp14:editId="4F763CCB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&gt;</w:t>
      </w:r>
      <w:proofErr w:type="gramEnd"/>
      <w:r w:rsidRPr="00FC4603">
        <w:rPr>
          <w:rFonts w:ascii="Times New Roman" w:eastAsia="Times New Roman" w:hAnsi="Times New Roman" w:cs="Times New Roman"/>
          <w:lang w:eastAsia="ar-SA"/>
        </w:rPr>
        <w:t xml:space="preserve"> 0,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0710D7" wp14:editId="581DBA7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86F6BF" wp14:editId="5FB4A18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A49A78" wp14:editId="58C6C7CE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б) в случае 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EC1E59" wp14:editId="6955277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&lt;0,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D869C9" wp14:editId="435EFE2A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49694D" wp14:editId="515989DC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0AA36C" wp14:editId="7A2C52A7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position w:val="-10"/>
          <w:lang w:eastAsia="ar-SA"/>
        </w:rPr>
        <w:object w:dxaOrig="2220" w:dyaOrig="360">
          <v:shape id="_x0000_i1025" type="#_x0000_t75" style="width:111pt;height:18pt" o:ole="">
            <v:imagedata r:id="rId10" o:title=""/>
          </v:shape>
          <o:OLEObject Type="Embed" ProgID="Equation.3" ShapeID="_x0000_i1025" DrawAspect="Content" ObjectID="_1692705394" r:id="rId11"/>
        </w:objec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>- рейтинг, присуждаемого i-й заявке по критерию "Цена контракта";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0,70 – коэффициент значимости указанного критерия.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30 %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0,30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Применяемый показатель данного критерия: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0,40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40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По данному показателю оценивается: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1F1189">
        <w:rPr>
          <w:rFonts w:ascii="Times New Roman" w:eastAsia="Times New Roman" w:hAnsi="Times New Roman" w:cs="Times New Roman"/>
          <w:i/>
          <w:lang w:eastAsia="ar-SA"/>
        </w:rPr>
        <w:t>60</w:t>
      </w:r>
      <w:r w:rsidR="00E41EC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C4603">
        <w:rPr>
          <w:rFonts w:ascii="Times New Roman" w:eastAsia="Times New Roman" w:hAnsi="Times New Roman" w:cs="Times New Roman"/>
          <w:i/>
          <w:lang w:eastAsia="ar-SA"/>
        </w:rPr>
        <w:t>штук. Подтверждается копиями государственных контрактов, актов поставки товаров к ним.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 w:firstLine="540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1), определяется по формуле: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6BCA94" wp14:editId="6F47579F">
            <wp:extent cx="1524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163D20">
      <w:pPr>
        <w:widowControl w:val="0"/>
        <w:numPr>
          <w:ilvl w:val="0"/>
          <w:numId w:val="2"/>
        </w:numPr>
        <w:suppressAutoHyphens/>
        <w:spacing w:after="0" w:line="276" w:lineRule="auto"/>
        <w:ind w:left="-567" w:right="-143"/>
        <w:contextualSpacing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0,60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60 баллов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ED0405">
        <w:rPr>
          <w:rFonts w:ascii="Times New Roman" w:eastAsia="Times New Roman" w:hAnsi="Times New Roman" w:cs="Times New Roman"/>
          <w:i/>
          <w:lang w:eastAsia="ar-SA"/>
        </w:rPr>
        <w:t>60</w:t>
      </w:r>
      <w:bookmarkStart w:id="0" w:name="_GoBack"/>
      <w:bookmarkEnd w:id="0"/>
      <w:r w:rsidR="006A62F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FC4603">
        <w:rPr>
          <w:rFonts w:ascii="Times New Roman" w:eastAsia="Times New Roman" w:hAnsi="Times New Roman" w:cs="Times New Roman"/>
          <w:i/>
          <w:lang w:eastAsia="ar-SA"/>
        </w:rPr>
        <w:t>штук. Подтверждается копиями государственных контрактов и копиями актов поставки товаров к ним.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определяется по формуле: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163D20">
      <w:pPr>
        <w:widowControl w:val="0"/>
        <w:suppressAutoHyphens/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F95005" wp14:editId="5D7FA0F6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163D20">
      <w:pPr>
        <w:widowControl w:val="0"/>
        <w:numPr>
          <w:ilvl w:val="0"/>
          <w:numId w:val="2"/>
        </w:numPr>
        <w:suppressAutoHyphens/>
        <w:spacing w:after="0" w:line="276" w:lineRule="auto"/>
        <w:ind w:left="-567" w:right="-143"/>
        <w:contextualSpacing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</w:rPr>
      </w:pPr>
      <w:r w:rsidRPr="00FC4603">
        <w:rPr>
          <w:rFonts w:ascii="Times New Roman" w:eastAsia="Times New Roman" w:hAnsi="Times New Roman" w:cs="Times New Roman"/>
          <w:b/>
        </w:rPr>
        <w:t xml:space="preserve">Формула расчета рейтинга, присуждаемого заявке по данному критерию оценки: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= КЗ х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 xml:space="preserve">1 + 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где: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</w:rPr>
        <w:t>КЗ</w:t>
      </w:r>
      <w:r w:rsidRPr="00FC4603">
        <w:rPr>
          <w:rFonts w:ascii="Times New Roman" w:eastAsia="Times New Roman" w:hAnsi="Times New Roman" w:cs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 xml:space="preserve">1, </w:t>
      </w: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>2</w:t>
      </w:r>
      <w:r w:rsidRPr="00FC4603">
        <w:rPr>
          <w:rFonts w:ascii="Times New Roman" w:eastAsia="Times New Roman" w:hAnsi="Times New Roman" w:cs="Times New Roman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b/>
          <w:lang w:val="en-US"/>
        </w:rPr>
        <w:lastRenderedPageBreak/>
        <w:t>Rb</w:t>
      </w:r>
      <w:proofErr w:type="spellEnd"/>
      <w:r w:rsidRPr="00FC4603">
        <w:rPr>
          <w:rFonts w:ascii="Times New Roman" w:eastAsia="Times New Roman" w:hAnsi="Times New Roman" w:cs="Times New Roman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Расчет итогового рейтинга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FC4603" w:rsidRPr="00FC4603" w:rsidRDefault="00FC4603" w:rsidP="00163D20">
      <w:pPr>
        <w:widowControl w:val="0"/>
        <w:suppressAutoHyphens/>
        <w:autoSpaceDE w:val="0"/>
        <w:autoSpaceDN w:val="0"/>
        <w:adjustRightInd w:val="0"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44EF2B5" wp14:editId="63C1CE76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= </w:t>
      </w: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</w:p>
    <w:p w:rsidR="00FC4603" w:rsidRPr="00FC4603" w:rsidRDefault="00FC4603" w:rsidP="00163D20">
      <w:pPr>
        <w:widowControl w:val="0"/>
        <w:tabs>
          <w:tab w:val="left" w:pos="1243"/>
        </w:tabs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где: </w:t>
      </w:r>
    </w:p>
    <w:p w:rsidR="00FC4603" w:rsidRPr="00FC4603" w:rsidRDefault="00FC4603" w:rsidP="00163D20">
      <w:pPr>
        <w:widowControl w:val="0"/>
        <w:tabs>
          <w:tab w:val="left" w:pos="1243"/>
        </w:tabs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D1A745D" wp14:editId="1AEED20E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итоговый рейтинг, присуждаемый i-й заявке;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рейтинг, присуждаемый i-ой заявке по критерию «Цена контракта»;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  <w:r w:rsidRPr="00FC4603">
        <w:rPr>
          <w:rFonts w:ascii="Times New Roman" w:eastAsia="Times New Roman" w:hAnsi="Times New Roman" w:cs="Times New Roman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Порядок оценки заявок по критериям оценки заявок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FC4603" w:rsidRPr="00FC4603" w:rsidRDefault="00FC4603" w:rsidP="00163D20">
      <w:pPr>
        <w:widowControl w:val="0"/>
        <w:suppressAutoHyphens/>
        <w:spacing w:after="0" w:line="300" w:lineRule="auto"/>
        <w:ind w:left="-567" w:right="-143"/>
        <w:jc w:val="both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B22B16" w:rsidRDefault="00B22B16"/>
    <w:sectPr w:rsidR="00B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3"/>
    <w:rsid w:val="00155292"/>
    <w:rsid w:val="00163D20"/>
    <w:rsid w:val="001D0551"/>
    <w:rsid w:val="001F1189"/>
    <w:rsid w:val="003700F1"/>
    <w:rsid w:val="00381454"/>
    <w:rsid w:val="004A3A9E"/>
    <w:rsid w:val="005D3B61"/>
    <w:rsid w:val="006A62F3"/>
    <w:rsid w:val="00847332"/>
    <w:rsid w:val="009707EF"/>
    <w:rsid w:val="00A769FD"/>
    <w:rsid w:val="00AE0A2E"/>
    <w:rsid w:val="00AF0B74"/>
    <w:rsid w:val="00B16419"/>
    <w:rsid w:val="00B22B16"/>
    <w:rsid w:val="00C55368"/>
    <w:rsid w:val="00E1290A"/>
    <w:rsid w:val="00E41EC0"/>
    <w:rsid w:val="00ED0405"/>
    <w:rsid w:val="00F21FB9"/>
    <w:rsid w:val="00F70AA8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3C51-5485-4FBB-B073-B010484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70AA8"/>
  </w:style>
  <w:style w:type="paragraph" w:styleId="a3">
    <w:name w:val="Balloon Text"/>
    <w:basedOn w:val="a"/>
    <w:link w:val="a4"/>
    <w:uiPriority w:val="99"/>
    <w:semiHidden/>
    <w:unhideWhenUsed/>
    <w:rsid w:val="00A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Айбала Рамазановна</dc:creator>
  <cp:keywords/>
  <dc:description/>
  <cp:lastModifiedBy>Абдурахманова Аида Омарасхабовна</cp:lastModifiedBy>
  <cp:revision>4</cp:revision>
  <cp:lastPrinted>2019-12-16T12:53:00Z</cp:lastPrinted>
  <dcterms:created xsi:type="dcterms:W3CDTF">2021-09-09T10:11:00Z</dcterms:created>
  <dcterms:modified xsi:type="dcterms:W3CDTF">2021-09-09T12:10:00Z</dcterms:modified>
</cp:coreProperties>
</file>