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BC" w:rsidRPr="00EB038A" w:rsidRDefault="00C667BC" w:rsidP="00C667BC">
      <w:pPr>
        <w:widowControl w:val="0"/>
        <w:snapToGrid w:val="0"/>
        <w:spacing w:after="0"/>
        <w:ind w:firstLine="709"/>
        <w:jc w:val="both"/>
        <w:rPr>
          <w:rFonts w:ascii="Times New Roman" w:hAnsi="Times New Roman"/>
          <w:b/>
          <w:kern w:val="1"/>
        </w:rPr>
      </w:pPr>
      <w:r w:rsidRPr="00EB038A">
        <w:rPr>
          <w:rFonts w:ascii="Times New Roman" w:hAnsi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в электронном виде</w:t>
      </w:r>
      <w:r w:rsidRPr="00EB038A">
        <w:rPr>
          <w:rFonts w:ascii="Times New Roman" w:hAnsi="Times New Roman"/>
          <w:b/>
          <w:kern w:val="1"/>
        </w:rPr>
        <w:t>.</w:t>
      </w:r>
    </w:p>
    <w:p w:rsidR="00C667BC" w:rsidRPr="00EB038A" w:rsidRDefault="00C667BC" w:rsidP="00C667B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667BC" w:rsidRPr="00EB038A" w:rsidRDefault="00C667BC" w:rsidP="00C667BC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149"/>
        <w:gridCol w:w="1751"/>
        <w:gridCol w:w="1753"/>
        <w:gridCol w:w="1641"/>
        <w:gridCol w:w="1556"/>
      </w:tblGrid>
      <w:tr w:rsidR="00C667BC" w:rsidRPr="00EB038A" w:rsidTr="00795351">
        <w:tc>
          <w:tcPr>
            <w:tcW w:w="0" w:type="auto"/>
            <w:shd w:val="clear" w:color="auto" w:fill="auto"/>
            <w:textDirection w:val="btLr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8A">
              <w:rPr>
                <w:rFonts w:ascii="Times New Roman" w:hAnsi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C667BC" w:rsidRPr="00EB038A" w:rsidTr="00795351">
        <w:tc>
          <w:tcPr>
            <w:tcW w:w="0" w:type="auto"/>
            <w:gridSpan w:val="6"/>
            <w:shd w:val="clear" w:color="auto" w:fill="auto"/>
          </w:tcPr>
          <w:p w:rsidR="00C667BC" w:rsidRPr="00EB038A" w:rsidRDefault="00C667BC" w:rsidP="0079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Стоимостной критерий оценки</w:t>
            </w:r>
          </w:p>
        </w:tc>
      </w:tr>
      <w:tr w:rsidR="00C667BC" w:rsidRPr="00EB038A" w:rsidTr="00795351"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val="en-US"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val="en-US" w:eastAsia="ru-RU"/>
              </w:rPr>
            </w:pPr>
            <w:r w:rsidRPr="00EB038A">
              <w:rPr>
                <w:rFonts w:ascii="Times New Roman" w:hAnsi="Times New Roman"/>
                <w:lang w:val="en-US" w:eastAsia="ru-RU"/>
              </w:rPr>
              <w:t>Ra</w:t>
            </w:r>
          </w:p>
        </w:tc>
      </w:tr>
      <w:tr w:rsidR="00C667BC" w:rsidRPr="00EB038A" w:rsidTr="00795351">
        <w:tc>
          <w:tcPr>
            <w:tcW w:w="0" w:type="auto"/>
            <w:gridSpan w:val="6"/>
            <w:shd w:val="clear" w:color="auto" w:fill="auto"/>
          </w:tcPr>
          <w:p w:rsidR="00C667BC" w:rsidRPr="00EB038A" w:rsidRDefault="00C667BC" w:rsidP="007953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C667BC" w:rsidRPr="00EB038A" w:rsidTr="00795351"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val="en-US" w:eastAsia="ru-RU"/>
              </w:rPr>
              <w:t>0</w:t>
            </w:r>
            <w:r w:rsidRPr="00EB038A">
              <w:rPr>
                <w:rFonts w:ascii="Times New Roman" w:hAnsi="Times New Roman"/>
                <w:lang w:eastAsia="ru-RU"/>
              </w:rPr>
              <w:t>,</w:t>
            </w:r>
            <w:r w:rsidRPr="00EB038A">
              <w:rPr>
                <w:rFonts w:ascii="Times New Roman" w:hAnsi="Times New Roman"/>
                <w:lang w:val="en-US" w:eastAsia="ru-RU"/>
              </w:rPr>
              <w:t>3</w:t>
            </w:r>
            <w:r w:rsidRPr="00EB038A">
              <w:rPr>
                <w:rFonts w:ascii="Times New Roman" w:hAnsi="Times New Roman"/>
                <w:lang w:eastAsia="ru-RU"/>
              </w:rPr>
              <w:t>0</w:t>
            </w: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val="en-US" w:eastAsia="ru-RU"/>
              </w:rPr>
            </w:pPr>
            <w:r w:rsidRPr="00EB038A">
              <w:rPr>
                <w:rFonts w:ascii="Times New Roman" w:hAnsi="Times New Roman"/>
                <w:lang w:val="en-US" w:eastAsia="ru-RU"/>
              </w:rPr>
              <w:t>Rb</w:t>
            </w:r>
          </w:p>
        </w:tc>
      </w:tr>
      <w:tr w:rsidR="00C667BC" w:rsidRPr="00EB038A" w:rsidTr="00795351"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  <w:tab w:val="left" w:pos="464"/>
                <w:tab w:val="left" w:pos="1411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0,40</w:t>
            </w: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val="en-US" w:eastAsia="ru-RU"/>
              </w:rPr>
            </w:pPr>
            <w:r w:rsidRPr="00EB038A">
              <w:rPr>
                <w:rFonts w:ascii="Times New Roman" w:hAnsi="Times New Roman"/>
                <w:lang w:val="en-US" w:eastAsia="ru-RU"/>
              </w:rPr>
              <w:t>b1</w:t>
            </w:r>
          </w:p>
        </w:tc>
      </w:tr>
      <w:tr w:rsidR="00C667BC" w:rsidRPr="00EB038A" w:rsidTr="00795351"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EB038A">
              <w:rPr>
                <w:rFonts w:ascii="Times New Roman" w:hAnsi="Times New Roman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lang w:val="en-US" w:eastAsia="ru-RU"/>
              </w:rPr>
            </w:pPr>
            <w:r w:rsidRPr="00EB038A">
              <w:rPr>
                <w:rFonts w:ascii="Times New Roman" w:hAnsi="Times New Roman"/>
                <w:lang w:val="en-US" w:eastAsia="ru-RU"/>
              </w:rPr>
              <w:t>b2</w:t>
            </w:r>
          </w:p>
        </w:tc>
      </w:tr>
      <w:tr w:rsidR="00C667BC" w:rsidRPr="00EB038A" w:rsidTr="00795351">
        <w:tc>
          <w:tcPr>
            <w:tcW w:w="0" w:type="auto"/>
            <w:gridSpan w:val="3"/>
            <w:shd w:val="clear" w:color="auto" w:fill="auto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667BC" w:rsidRPr="00EB038A" w:rsidRDefault="00C667BC" w:rsidP="00795351">
            <w:pPr>
              <w:keepNext/>
              <w:tabs>
                <w:tab w:val="num" w:pos="24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B038A">
              <w:rPr>
                <w:rFonts w:ascii="Times New Roman" w:hAnsi="Times New Roman"/>
                <w:b/>
                <w:lang w:eastAsia="ru-RU"/>
              </w:rPr>
              <w:t>100</w:t>
            </w:r>
          </w:p>
        </w:tc>
      </w:tr>
    </w:tbl>
    <w:p w:rsidR="00C667BC" w:rsidRPr="00EB038A" w:rsidRDefault="00C667BC" w:rsidP="00C667BC">
      <w:pPr>
        <w:autoSpaceDE w:val="0"/>
        <w:autoSpaceDN w:val="0"/>
        <w:adjustRightInd w:val="0"/>
        <w:jc w:val="both"/>
        <w:rPr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center"/>
        <w:rPr>
          <w:rFonts w:ascii="Times New Roman" w:hAnsi="Times New Roman"/>
          <w:b/>
          <w:lang w:eastAsia="ru-RU"/>
        </w:rPr>
      </w:pPr>
      <w:r w:rsidRPr="00EB038A">
        <w:rPr>
          <w:rFonts w:ascii="Times New Roman" w:hAnsi="Times New Roman"/>
          <w:b/>
          <w:lang w:eastAsia="ru-RU"/>
        </w:rPr>
        <w:t>Порядок оценки и сопоставления заявок на участие в Конкурсе:</w:t>
      </w:r>
    </w:p>
    <w:p w:rsidR="00C667BC" w:rsidRPr="00EB038A" w:rsidRDefault="00C667BC" w:rsidP="00C667BC">
      <w:pPr>
        <w:widowControl w:val="0"/>
        <w:spacing w:after="0"/>
        <w:jc w:val="center"/>
        <w:rPr>
          <w:rFonts w:ascii="Times New Roman" w:hAnsi="Times New Roman"/>
          <w:b/>
          <w:lang w:eastAsia="ru-RU"/>
        </w:rPr>
      </w:pP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  <w:b/>
        </w:rPr>
      </w:pPr>
      <w:r w:rsidRPr="00EB038A">
        <w:rPr>
          <w:rFonts w:ascii="Times New Roman" w:hAnsi="Times New Roman" w:cs="Times New Roman"/>
          <w:b/>
        </w:rPr>
        <w:t>1. Цена контракта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Величина значимости критерия – 70 %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Коэффициент значимости критерия оценки – 0,70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Оценка критерия (баллы):100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 xml:space="preserve"> Количество баллов, присуждаемых по критерию оценки «цена контракта», определяется по   формуле: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  <w:i/>
        </w:rPr>
      </w:pPr>
      <w:r w:rsidRPr="00EB038A">
        <w:rPr>
          <w:rFonts w:ascii="Times New Roman" w:hAnsi="Times New Roman" w:cs="Times New Roman"/>
          <w:i/>
        </w:rPr>
        <w:t>а) в случае если Цmin &gt; 0,</w:t>
      </w: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ЦБi = Цmin / Цi х 100,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Где: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ЦБi - количество баллов по критерию оценки «цена контракта»;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Цmin - минимальное предложение из предложений по критерию оценки, сделанных участниками закупки;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Цi - предложение участника закупки, заявка которого оценивается;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  <w:i/>
        </w:rPr>
      </w:pPr>
      <w:r w:rsidRPr="00EB038A">
        <w:rPr>
          <w:rFonts w:ascii="Times New Roman" w:hAnsi="Times New Roman" w:cs="Times New Roman"/>
          <w:i/>
        </w:rPr>
        <w:t>б) в случае если Цmin &lt; 0,</w:t>
      </w: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ЦБi = (Цmax - Цi)/ Цmax х 100,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где ЦБi –количество баллов по критерию оценки «цена контракта»;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Цmax - максимальное предложение из предложений по критерию оценки, сделанных участниками закупки;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Цi - предложение участника закупки, заявка которого оценивается.</w:t>
      </w: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 xml:space="preserve">Для расчета рейтинга, присуждаемого </w:t>
      </w:r>
      <w:r w:rsidRPr="00EB038A">
        <w:rPr>
          <w:rFonts w:ascii="Times New Roman" w:hAnsi="Times New Roman" w:cs="Times New Roman"/>
          <w:lang w:val="en-US"/>
        </w:rPr>
        <w:t>i</w:t>
      </w:r>
      <w:r w:rsidRPr="00EB038A">
        <w:rPr>
          <w:rFonts w:ascii="Times New Roman" w:hAnsi="Times New Roman" w:cs="Times New Roman"/>
        </w:rPr>
        <w:t xml:space="preserve">-й заявке по критерию «Цена контракта», количество баллов, присвоенных </w:t>
      </w:r>
      <w:r w:rsidRPr="00EB038A">
        <w:rPr>
          <w:rFonts w:ascii="Times New Roman" w:hAnsi="Times New Roman" w:cs="Times New Roman"/>
          <w:lang w:val="en-US"/>
        </w:rPr>
        <w:t>i</w:t>
      </w:r>
      <w:r w:rsidRPr="00EB038A">
        <w:rPr>
          <w:rFonts w:ascii="Times New Roman" w:hAnsi="Times New Roman" w:cs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  <w:lang w:val="en-US"/>
        </w:rPr>
        <w:t>Ra</w:t>
      </w:r>
      <w:r w:rsidRPr="00EB038A">
        <w:rPr>
          <w:rFonts w:ascii="Times New Roman" w:hAnsi="Times New Roman" w:cs="Times New Roman"/>
        </w:rPr>
        <w:t>= ЦБi х 0,70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Где: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  <w:lang w:val="en-US"/>
        </w:rPr>
        <w:t>Ra</w:t>
      </w:r>
      <w:r w:rsidRPr="00EB038A">
        <w:rPr>
          <w:rFonts w:ascii="Times New Roman" w:hAnsi="Times New Roman" w:cs="Times New Roman"/>
        </w:rPr>
        <w:t xml:space="preserve">-  рейтинг, присуждаемый  </w:t>
      </w:r>
      <w:r w:rsidRPr="00EB038A">
        <w:rPr>
          <w:rFonts w:ascii="Times New Roman" w:hAnsi="Times New Roman" w:cs="Times New Roman"/>
          <w:lang w:val="en-US"/>
        </w:rPr>
        <w:t>i</w:t>
      </w:r>
      <w:r w:rsidRPr="00EB038A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</w:rPr>
        <w:t>0,70 - коэффициент значимости критерия "цена контракта".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  <w:b/>
          <w:u w:val="single"/>
          <w:lang w:eastAsia="ru-RU"/>
        </w:rPr>
      </w:pP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EB038A">
        <w:rPr>
          <w:rFonts w:ascii="Times New Roman" w:hAnsi="Times New Roman" w:cs="Times New Roman"/>
          <w:b/>
          <w:u w:val="single"/>
          <w:lang w:eastAsia="ru-RU"/>
        </w:rPr>
        <w:t>Критерий, характеризующийся как нестоимостной критерий оценки: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  <w:b/>
          <w:u w:val="single"/>
          <w:lang w:eastAsia="ru-RU"/>
        </w:rPr>
      </w:pPr>
    </w:p>
    <w:p w:rsidR="00C667BC" w:rsidRPr="00EB038A" w:rsidRDefault="00C667BC" w:rsidP="00C667BC">
      <w:pPr>
        <w:pStyle w:val="ConsPlusNormal0"/>
        <w:ind w:firstLine="0"/>
        <w:jc w:val="both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Величина значимости критерия – 30 %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Коэффициент значимости критерия оценки – 0,30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Применяемые показатели данного критерия: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  <w:r w:rsidRPr="00EB038A">
        <w:rPr>
          <w:rFonts w:ascii="Times New Roman" w:hAnsi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EB038A">
        <w:rPr>
          <w:rFonts w:ascii="Times New Roman" w:hAnsi="Times New Roman"/>
          <w:b/>
          <w:spacing w:val="-4"/>
          <w:lang w:eastAsia="ru-RU"/>
        </w:rPr>
        <w:t>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>Оценка показателя (баллы): 100 баллов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>Коэффициент значимости показателя:0,40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i/>
          <w:spacing w:val="-4"/>
          <w:lang w:eastAsia="ru-RU"/>
        </w:rPr>
      </w:pPr>
      <w:r w:rsidRPr="00EB038A">
        <w:rPr>
          <w:rFonts w:ascii="Times New Roman" w:hAnsi="Times New Roman"/>
          <w:i/>
          <w:spacing w:val="-4"/>
          <w:lang w:eastAsia="ru-RU"/>
        </w:rPr>
        <w:t>По данному показателю оценивается: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</w:t>
      </w:r>
      <w:r w:rsidRPr="00EB038A">
        <w:rPr>
          <w:rFonts w:ascii="Times New Roman" w:hAnsi="Times New Roman"/>
          <w:spacing w:val="-4"/>
          <w:lang w:eastAsia="ru-RU"/>
        </w:rPr>
        <w:lastRenderedPageBreak/>
        <w:t>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250 штук.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i/>
          <w:spacing w:val="-4"/>
          <w:lang w:eastAsia="ru-RU"/>
        </w:rPr>
        <w:t>Количество баллов, присуждаемых по показателю (</w:t>
      </w:r>
      <w:r w:rsidRPr="00EB038A">
        <w:rPr>
          <w:rFonts w:ascii="Times New Roman" w:hAnsi="Times New Roman"/>
          <w:i/>
          <w:spacing w:val="-4"/>
          <w:lang w:val="en-US" w:eastAsia="ru-RU"/>
        </w:rPr>
        <w:t>b</w:t>
      </w:r>
      <w:r w:rsidRPr="00EB038A">
        <w:rPr>
          <w:rFonts w:ascii="Times New Roman" w:hAnsi="Times New Roman"/>
          <w:i/>
          <w:spacing w:val="-4"/>
          <w:lang w:eastAsia="ru-RU"/>
        </w:rPr>
        <w:t>1), определяется по формуле</w:t>
      </w:r>
      <w:r w:rsidRPr="00EB038A">
        <w:rPr>
          <w:rFonts w:ascii="Times New Roman" w:hAnsi="Times New Roman"/>
          <w:spacing w:val="-4"/>
          <w:lang w:eastAsia="ru-RU"/>
        </w:rPr>
        <w:t>:</w:t>
      </w: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  <w:lang w:val="en-US"/>
        </w:rPr>
        <w:t>b</w:t>
      </w:r>
      <w:r w:rsidRPr="00EB038A">
        <w:rPr>
          <w:rFonts w:ascii="Times New Roman" w:hAnsi="Times New Roman" w:cs="Times New Roman"/>
        </w:rPr>
        <w:t>1 = КЗ х 100 х (Кi/Кmax),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где: КЗ - коэффициент значимости показателя;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b/>
          <w:spacing w:val="-4"/>
          <w:lang w:eastAsia="ru-RU"/>
        </w:rPr>
      </w:pPr>
      <w:r w:rsidRPr="00EB038A">
        <w:rPr>
          <w:rFonts w:ascii="Times New Roman" w:hAnsi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>Оценка показателя (баллы): 100 баллов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>Коэффициент значимости показателя:0,60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i/>
          <w:spacing w:val="-4"/>
          <w:lang w:eastAsia="ru-RU"/>
        </w:rPr>
      </w:pPr>
      <w:r w:rsidRPr="00EB038A">
        <w:rPr>
          <w:rFonts w:ascii="Times New Roman" w:hAnsi="Times New Roman"/>
          <w:i/>
          <w:spacing w:val="-4"/>
          <w:lang w:eastAsia="ru-RU"/>
        </w:rPr>
        <w:t>По данному показателю оценивается: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  <w:r w:rsidRPr="00EB038A">
        <w:rPr>
          <w:rFonts w:ascii="Times New Roman" w:hAnsi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поставленных товаров (в штуках) в каждом контракте должно быть в каждом контракте должно быть не менее 250 штук.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spacing w:val="-4"/>
          <w:lang w:eastAsia="ru-RU"/>
        </w:rPr>
      </w:pPr>
    </w:p>
    <w:p w:rsidR="00C667BC" w:rsidRPr="00EB038A" w:rsidRDefault="00C667BC" w:rsidP="00C667BC">
      <w:pPr>
        <w:widowControl w:val="0"/>
        <w:spacing w:after="0"/>
        <w:rPr>
          <w:rFonts w:ascii="Times New Roman" w:hAnsi="Times New Roman"/>
          <w:i/>
          <w:spacing w:val="-4"/>
          <w:lang w:eastAsia="ru-RU"/>
        </w:rPr>
      </w:pPr>
      <w:r w:rsidRPr="00EB038A">
        <w:rPr>
          <w:rFonts w:ascii="Times New Roman" w:hAnsi="Times New Roman"/>
          <w:i/>
          <w:spacing w:val="-4"/>
          <w:lang w:eastAsia="ru-RU"/>
        </w:rPr>
        <w:t>Количество баллов, присуждаемых по показателю (</w:t>
      </w:r>
      <w:r w:rsidRPr="00EB038A">
        <w:rPr>
          <w:rFonts w:ascii="Times New Roman" w:hAnsi="Times New Roman"/>
          <w:i/>
          <w:spacing w:val="-4"/>
          <w:lang w:val="en-US" w:eastAsia="ru-RU"/>
        </w:rPr>
        <w:t>b</w:t>
      </w:r>
      <w:r w:rsidRPr="00EB038A">
        <w:rPr>
          <w:rFonts w:ascii="Times New Roman" w:hAnsi="Times New Roman"/>
          <w:i/>
          <w:spacing w:val="-4"/>
          <w:lang w:eastAsia="ru-RU"/>
        </w:rPr>
        <w:t>2), определяется по формуле:</w:t>
      </w: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pStyle w:val="ConsPlusNormal0"/>
        <w:ind w:firstLine="0"/>
        <w:jc w:val="center"/>
        <w:rPr>
          <w:rFonts w:ascii="Times New Roman" w:hAnsi="Times New Roman" w:cs="Times New Roman"/>
        </w:rPr>
      </w:pPr>
      <w:r w:rsidRPr="00EB038A">
        <w:rPr>
          <w:rFonts w:ascii="Times New Roman" w:hAnsi="Times New Roman" w:cs="Times New Roman"/>
          <w:lang w:val="en-US"/>
        </w:rPr>
        <w:t>b</w:t>
      </w:r>
      <w:r w:rsidRPr="00EB038A">
        <w:rPr>
          <w:rFonts w:ascii="Times New Roman" w:hAnsi="Times New Roman" w:cs="Times New Roman"/>
        </w:rPr>
        <w:t>2 = КЗ х 100 х (Кi/Кmax),</w:t>
      </w:r>
    </w:p>
    <w:p w:rsidR="00C667BC" w:rsidRPr="00EB038A" w:rsidRDefault="00C667BC" w:rsidP="00C667BC">
      <w:pPr>
        <w:pStyle w:val="ConsPlusNormal0"/>
        <w:ind w:firstLine="0"/>
        <w:rPr>
          <w:rFonts w:ascii="Times New Roman" w:hAnsi="Times New Roman" w:cs="Times New Roman"/>
        </w:rPr>
      </w:pP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где: КЗ - коэффициент значимости показателя;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rPr>
          <w:rFonts w:ascii="Times New Roman" w:hAnsi="Times New Roman"/>
          <w:b/>
          <w:lang w:eastAsia="ru-RU"/>
        </w:rPr>
      </w:pP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lang w:eastAsia="ru-RU"/>
        </w:rPr>
      </w:pPr>
      <w:r w:rsidRPr="00EB038A">
        <w:rPr>
          <w:rFonts w:ascii="Times New Roman" w:hAnsi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center"/>
        <w:rPr>
          <w:rFonts w:ascii="Times New Roman" w:hAnsi="Times New Roman"/>
          <w:b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Rb</w:t>
      </w:r>
      <w:r w:rsidRPr="00EB038A">
        <w:rPr>
          <w:rFonts w:ascii="Times New Roman" w:hAnsi="Times New Roman"/>
          <w:lang w:eastAsia="ru-RU"/>
        </w:rPr>
        <w:t>=КЗ х(</w:t>
      </w:r>
      <w:r w:rsidRPr="00EB038A">
        <w:rPr>
          <w:rFonts w:ascii="Times New Roman" w:hAnsi="Times New Roman"/>
          <w:lang w:val="en-US" w:eastAsia="ru-RU"/>
        </w:rPr>
        <w:t>b</w:t>
      </w:r>
      <w:r w:rsidRPr="00EB038A">
        <w:rPr>
          <w:rFonts w:ascii="Times New Roman" w:hAnsi="Times New Roman"/>
          <w:lang w:eastAsia="ru-RU"/>
        </w:rPr>
        <w:t xml:space="preserve">1 + </w:t>
      </w:r>
      <w:r w:rsidRPr="00EB038A">
        <w:rPr>
          <w:rFonts w:ascii="Times New Roman" w:hAnsi="Times New Roman"/>
          <w:lang w:val="en-US" w:eastAsia="ru-RU"/>
        </w:rPr>
        <w:t>b</w:t>
      </w:r>
      <w:r w:rsidRPr="00EB038A">
        <w:rPr>
          <w:rFonts w:ascii="Times New Roman" w:hAnsi="Times New Roman"/>
          <w:lang w:eastAsia="ru-RU"/>
        </w:rPr>
        <w:t>2)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где: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</w:p>
    <w:p w:rsidR="00C667BC" w:rsidRPr="00EB038A" w:rsidRDefault="00C667BC" w:rsidP="00C667BC">
      <w:pPr>
        <w:widowControl w:val="0"/>
        <w:tabs>
          <w:tab w:val="left" w:pos="2055"/>
        </w:tabs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b</w:t>
      </w:r>
      <w:r w:rsidRPr="00EB038A">
        <w:rPr>
          <w:rFonts w:ascii="Times New Roman" w:hAnsi="Times New Roman"/>
          <w:lang w:eastAsia="ru-RU"/>
        </w:rPr>
        <w:t xml:space="preserve">1, </w:t>
      </w:r>
      <w:r w:rsidRPr="00EB038A">
        <w:rPr>
          <w:rFonts w:ascii="Times New Roman" w:hAnsi="Times New Roman"/>
          <w:lang w:val="en-US" w:eastAsia="ru-RU"/>
        </w:rPr>
        <w:t>b</w:t>
      </w:r>
      <w:r w:rsidRPr="00EB038A">
        <w:rPr>
          <w:rFonts w:ascii="Times New Roman" w:hAnsi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Rb</w:t>
      </w:r>
      <w:r w:rsidRPr="00EB038A">
        <w:rPr>
          <w:rFonts w:ascii="Times New Roman" w:hAnsi="Times New Roman"/>
          <w:lang w:eastAsia="ru-RU"/>
        </w:rPr>
        <w:t xml:space="preserve"> – рейтинг (количество баллов) </w:t>
      </w:r>
      <w:r w:rsidRPr="00EB038A">
        <w:rPr>
          <w:rFonts w:ascii="Times New Roman" w:hAnsi="Times New Roman"/>
          <w:lang w:val="en-US" w:eastAsia="ru-RU"/>
        </w:rPr>
        <w:t>i</w:t>
      </w:r>
      <w:r w:rsidRPr="00EB038A">
        <w:rPr>
          <w:rFonts w:ascii="Times New Roman" w:hAnsi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</w:rPr>
      </w:pP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</w:rPr>
      </w:pPr>
      <w:r w:rsidRPr="00EB038A">
        <w:rPr>
          <w:rFonts w:ascii="Times New Roman" w:hAnsi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</w:rPr>
      </w:pPr>
      <w:r w:rsidRPr="00EB038A">
        <w:rPr>
          <w:rFonts w:ascii="Times New Roman" w:hAnsi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C667BC" w:rsidRPr="00EB038A" w:rsidRDefault="00C667BC" w:rsidP="00C667BC">
      <w:pPr>
        <w:widowControl w:val="0"/>
        <w:spacing w:after="0"/>
        <w:jc w:val="center"/>
        <w:rPr>
          <w:rFonts w:ascii="Times New Roman" w:hAnsi="Times New Roman"/>
        </w:rPr>
      </w:pPr>
      <w:r w:rsidRPr="00EB038A">
        <w:rPr>
          <w:rFonts w:ascii="Times New Roman" w:hAnsi="Times New Roman"/>
          <w:b/>
          <w:lang w:eastAsia="ru-RU"/>
        </w:rPr>
        <w:t>Расчет итогового рейтинга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R</w:t>
      </w:r>
      <w:r w:rsidRPr="00EB038A">
        <w:rPr>
          <w:rFonts w:ascii="Times New Roman" w:hAnsi="Times New Roman"/>
          <w:vertAlign w:val="subscript"/>
          <w:lang w:eastAsia="ru-RU"/>
        </w:rPr>
        <w:t>итог</w:t>
      </w:r>
      <w:r w:rsidRPr="00EB038A">
        <w:rPr>
          <w:rFonts w:ascii="Times New Roman" w:hAnsi="Times New Roman"/>
          <w:lang w:eastAsia="ru-RU"/>
        </w:rPr>
        <w:t xml:space="preserve"> = </w:t>
      </w:r>
      <w:r w:rsidRPr="00EB038A">
        <w:rPr>
          <w:rFonts w:ascii="Times New Roman" w:hAnsi="Times New Roman"/>
          <w:lang w:val="en-US" w:eastAsia="ru-RU"/>
        </w:rPr>
        <w:t>Ra</w:t>
      </w:r>
      <w:r w:rsidRPr="00EB038A">
        <w:rPr>
          <w:rFonts w:ascii="Times New Roman" w:hAnsi="Times New Roman"/>
          <w:lang w:eastAsia="ru-RU"/>
        </w:rPr>
        <w:t xml:space="preserve">+ </w:t>
      </w:r>
      <w:r w:rsidRPr="00EB038A">
        <w:rPr>
          <w:rFonts w:ascii="Times New Roman" w:hAnsi="Times New Roman"/>
          <w:lang w:val="en-US" w:eastAsia="ru-RU"/>
        </w:rPr>
        <w:t>Rb</w:t>
      </w:r>
      <w:r w:rsidRPr="00EB038A">
        <w:rPr>
          <w:rFonts w:ascii="Times New Roman" w:hAnsi="Times New Roman"/>
          <w:lang w:eastAsia="ru-RU"/>
        </w:rPr>
        <w:t>, где: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R</w:t>
      </w:r>
      <w:r w:rsidRPr="00EB038A">
        <w:rPr>
          <w:rFonts w:ascii="Times New Roman" w:hAnsi="Times New Roman"/>
          <w:vertAlign w:val="subscript"/>
          <w:lang w:eastAsia="ru-RU"/>
        </w:rPr>
        <w:t>итог</w:t>
      </w:r>
      <w:r w:rsidRPr="00EB038A">
        <w:rPr>
          <w:rFonts w:ascii="Times New Roman" w:hAnsi="Times New Roman"/>
          <w:lang w:eastAsia="ru-RU"/>
        </w:rPr>
        <w:t>-</w:t>
      </w:r>
      <w:r w:rsidRPr="00EB038A">
        <w:rPr>
          <w:rFonts w:ascii="Times New Roman" w:hAnsi="Times New Roman"/>
          <w:vertAlign w:val="subscript"/>
          <w:lang w:eastAsia="ru-RU"/>
        </w:rPr>
        <w:t xml:space="preserve"> </w:t>
      </w:r>
      <w:r w:rsidRPr="00EB038A">
        <w:rPr>
          <w:rFonts w:ascii="Times New Roman" w:hAnsi="Times New Roman"/>
          <w:lang w:eastAsia="ru-RU"/>
        </w:rPr>
        <w:t xml:space="preserve">итоговый рейтинг, присуждаемый </w:t>
      </w:r>
      <w:r w:rsidRPr="00EB038A">
        <w:rPr>
          <w:rFonts w:ascii="Times New Roman" w:hAnsi="Times New Roman"/>
          <w:lang w:val="en-US" w:eastAsia="ru-RU"/>
        </w:rPr>
        <w:t>i</w:t>
      </w:r>
      <w:r w:rsidRPr="00EB038A">
        <w:rPr>
          <w:rFonts w:ascii="Times New Roman" w:hAnsi="Times New Roman"/>
          <w:lang w:eastAsia="ru-RU"/>
        </w:rPr>
        <w:t xml:space="preserve"> –ой заявке;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Ra</w:t>
      </w:r>
      <w:r w:rsidRPr="00EB038A">
        <w:rPr>
          <w:rFonts w:ascii="Times New Roman" w:hAnsi="Times New Roman"/>
          <w:lang w:eastAsia="ru-RU"/>
        </w:rPr>
        <w:t xml:space="preserve"> – рейтинг, присуждаемый </w:t>
      </w:r>
      <w:r w:rsidRPr="00EB038A">
        <w:rPr>
          <w:rFonts w:ascii="Times New Roman" w:hAnsi="Times New Roman"/>
          <w:lang w:val="en-US" w:eastAsia="ru-RU"/>
        </w:rPr>
        <w:t>i</w:t>
      </w:r>
      <w:r w:rsidRPr="00EB038A">
        <w:rPr>
          <w:rFonts w:ascii="Times New Roman" w:hAnsi="Times New Roman"/>
          <w:lang w:eastAsia="ru-RU"/>
        </w:rPr>
        <w:t xml:space="preserve"> –ой заявке по критерию «Цена контракта»;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val="en-US" w:eastAsia="ru-RU"/>
        </w:rPr>
        <w:t>Rb</w:t>
      </w:r>
      <w:r w:rsidRPr="00EB038A">
        <w:rPr>
          <w:rFonts w:ascii="Times New Roman" w:hAnsi="Times New Roman"/>
          <w:lang w:eastAsia="ru-RU"/>
        </w:rPr>
        <w:t xml:space="preserve"> - рейтинг, присуждаемый </w:t>
      </w:r>
      <w:r w:rsidRPr="00EB038A">
        <w:rPr>
          <w:rFonts w:ascii="Times New Roman" w:hAnsi="Times New Roman"/>
          <w:lang w:val="en-US" w:eastAsia="ru-RU"/>
        </w:rPr>
        <w:t>i</w:t>
      </w:r>
      <w:r w:rsidRPr="00EB038A">
        <w:rPr>
          <w:rFonts w:ascii="Times New Roman" w:hAnsi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667BC" w:rsidRPr="00EB038A" w:rsidRDefault="00C667BC" w:rsidP="00C667BC">
      <w:pPr>
        <w:widowControl w:val="0"/>
        <w:spacing w:after="0"/>
        <w:jc w:val="center"/>
        <w:rPr>
          <w:rFonts w:ascii="Times New Roman" w:hAnsi="Times New Roman"/>
          <w:b/>
          <w:lang w:eastAsia="ru-RU"/>
        </w:rPr>
      </w:pPr>
    </w:p>
    <w:p w:rsidR="00C667BC" w:rsidRPr="00EB038A" w:rsidRDefault="00C667BC" w:rsidP="00C667BC">
      <w:pPr>
        <w:widowControl w:val="0"/>
        <w:spacing w:after="0"/>
        <w:jc w:val="center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b/>
          <w:lang w:eastAsia="ru-RU"/>
        </w:rPr>
        <w:t>Порядок оценки заявок по критериям оценки заявок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C667BC" w:rsidRPr="00EB038A" w:rsidRDefault="00C667BC" w:rsidP="00C667BC">
      <w:pPr>
        <w:widowControl w:val="0"/>
        <w:spacing w:after="0"/>
        <w:jc w:val="both"/>
        <w:rPr>
          <w:rFonts w:ascii="Times New Roman" w:hAnsi="Times New Roman"/>
          <w:lang w:eastAsia="ru-RU"/>
        </w:rPr>
      </w:pPr>
      <w:r w:rsidRPr="00EB038A">
        <w:rPr>
          <w:rFonts w:ascii="Times New Roman" w:hAnsi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667BC" w:rsidRPr="00EB038A" w:rsidRDefault="00C667BC" w:rsidP="00C667BC">
      <w:pPr>
        <w:widowControl w:val="0"/>
        <w:spacing w:after="0"/>
        <w:rPr>
          <w:rFonts w:ascii="Times New Roman" w:hAnsi="Times New Roman"/>
        </w:rPr>
      </w:pPr>
      <w:r w:rsidRPr="00EB038A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1F53B7" w:rsidRDefault="001F53B7"/>
    <w:sectPr w:rsidR="001F53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C" w:rsidRDefault="00C667BC" w:rsidP="00C667BC">
      <w:pPr>
        <w:spacing w:after="0" w:line="240" w:lineRule="auto"/>
      </w:pPr>
      <w:r>
        <w:separator/>
      </w:r>
    </w:p>
  </w:endnote>
  <w:endnote w:type="continuationSeparator" w:id="0">
    <w:p w:rsidR="00C667BC" w:rsidRDefault="00C667BC" w:rsidP="00C6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133443"/>
      <w:docPartObj>
        <w:docPartGallery w:val="Page Numbers (Bottom of Page)"/>
        <w:docPartUnique/>
      </w:docPartObj>
    </w:sdtPr>
    <w:sdtContent>
      <w:p w:rsidR="00C667BC" w:rsidRDefault="00C667BC" w:rsidP="00C667BC">
        <w:pPr>
          <w:pStyle w:val="a5"/>
          <w:jc w:val="center"/>
        </w:pPr>
        <w:r w:rsidRPr="00C667BC">
          <w:rPr>
            <w:rFonts w:ascii="Times New Roman" w:hAnsi="Times New Roman"/>
          </w:rPr>
          <w:fldChar w:fldCharType="begin"/>
        </w:r>
        <w:r w:rsidRPr="00C667BC">
          <w:rPr>
            <w:rFonts w:ascii="Times New Roman" w:hAnsi="Times New Roman"/>
          </w:rPr>
          <w:instrText>PAGE   \* MERGEFORMAT</w:instrText>
        </w:r>
        <w:r w:rsidRPr="00C667B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5</w:t>
        </w:r>
        <w:r w:rsidRPr="00C667BC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C" w:rsidRDefault="00C667BC" w:rsidP="00C667BC">
      <w:pPr>
        <w:spacing w:after="0" w:line="240" w:lineRule="auto"/>
      </w:pPr>
      <w:r>
        <w:separator/>
      </w:r>
    </w:p>
  </w:footnote>
  <w:footnote w:type="continuationSeparator" w:id="0">
    <w:p w:rsidR="00C667BC" w:rsidRDefault="00C667BC" w:rsidP="00C66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BC"/>
    <w:rsid w:val="001F53B7"/>
    <w:rsid w:val="00C667BC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67BC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qFormat/>
    <w:rsid w:val="00C66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header"/>
    <w:basedOn w:val="a"/>
    <w:link w:val="a4"/>
    <w:uiPriority w:val="99"/>
    <w:unhideWhenUsed/>
    <w:rsid w:val="00C6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7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7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667BC"/>
    <w:rPr>
      <w:rFonts w:ascii="Cambria" w:eastAsia="Cambria" w:hAnsi="Cambria" w:cs="Cambria"/>
    </w:rPr>
  </w:style>
  <w:style w:type="paragraph" w:customStyle="1" w:styleId="ConsPlusNormal0">
    <w:name w:val="ConsPlusNormal"/>
    <w:link w:val="ConsPlusNormal"/>
    <w:qFormat/>
    <w:rsid w:val="00C66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mbria" w:eastAsia="Cambria" w:hAnsi="Cambria" w:cs="Cambria"/>
    </w:rPr>
  </w:style>
  <w:style w:type="paragraph" w:styleId="a3">
    <w:name w:val="header"/>
    <w:basedOn w:val="a"/>
    <w:link w:val="a4"/>
    <w:uiPriority w:val="99"/>
    <w:unhideWhenUsed/>
    <w:rsid w:val="00C6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7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6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7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1</cp:revision>
  <dcterms:created xsi:type="dcterms:W3CDTF">2021-09-10T08:30:00Z</dcterms:created>
  <dcterms:modified xsi:type="dcterms:W3CDTF">2021-09-10T08:30:00Z</dcterms:modified>
</cp:coreProperties>
</file>