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="000365C0">
        <w:rPr>
          <w:b/>
          <w:bCs/>
        </w:rPr>
        <w:t>протеза</w:t>
      </w:r>
      <w:r w:rsidRPr="00887906">
        <w:rPr>
          <w:b/>
          <w:bCs/>
        </w:rPr>
        <w:t xml:space="preserve"> </w:t>
      </w:r>
      <w:r w:rsidR="000365C0">
        <w:rPr>
          <w:b/>
          <w:bCs/>
        </w:rPr>
        <w:t xml:space="preserve">предплечья с микропроцессорным управлением </w:t>
      </w:r>
      <w:r w:rsidRPr="00887906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</w:t>
      </w:r>
      <w:r w:rsidR="000365C0" w:rsidRPr="000365C0">
        <w:rPr>
          <w:bCs/>
        </w:rPr>
        <w:t>протеза предплечья с микропроцессорным управлением</w:t>
      </w:r>
      <w:r w:rsidR="000365C0" w:rsidRPr="000365C0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5F4285">
        <w:rPr>
          <w:bCs/>
        </w:rPr>
        <w:t>1</w:t>
      </w:r>
      <w:r w:rsidRPr="009E2964">
        <w:rPr>
          <w:b/>
          <w:bCs/>
        </w:rPr>
        <w:t xml:space="preserve"> (</w:t>
      </w:r>
      <w:r w:rsidR="005F4285">
        <w:rPr>
          <w:b/>
          <w:bCs/>
        </w:rPr>
        <w:t>один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A83823" w:rsidRPr="00D21021" w:rsidRDefault="00A83823" w:rsidP="00A83823">
      <w:pPr>
        <w:widowControl w:val="0"/>
        <w:spacing w:after="0"/>
        <w:ind w:right="-39" w:firstLine="567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 xml:space="preserve"> </w:t>
      </w:r>
      <w:r w:rsidRPr="00DD2A22">
        <w:t>(с актами выполненных работ)</w:t>
      </w:r>
      <w:r>
        <w:t xml:space="preserve">, </w:t>
      </w:r>
      <w:r w:rsidRPr="00DD2A22">
        <w:t>заключенных в соответствии с Федеральным законом № 44-ФЗ,</w:t>
      </w:r>
      <w:r w:rsidRPr="00E455AE">
        <w:t xml:space="preserve"> </w:t>
      </w:r>
      <w:r>
        <w:t xml:space="preserve">опубликованных на официальном сайте </w:t>
      </w:r>
      <w:hyperlink r:id="rId11" w:history="1">
        <w:r w:rsidRPr="0016371D">
          <w:rPr>
            <w:rStyle w:val="a7"/>
          </w:rPr>
          <w:t>www.zakupki.gov.ru</w:t>
        </w:r>
      </w:hyperlink>
      <w:r>
        <w:t xml:space="preserve">, </w:t>
      </w:r>
      <w:r w:rsidRPr="00E455AE">
        <w:t>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 </w:t>
      </w:r>
      <w:r w:rsidRPr="00DD2A22">
        <w:t xml:space="preserve">(с актами выполненных работ),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5F4285">
        <w:t>5</w:t>
      </w:r>
      <w:r w:rsidR="0017004C">
        <w:t xml:space="preserve"> </w:t>
      </w:r>
      <w:r>
        <w:t>(</w:t>
      </w:r>
      <w:r w:rsidR="005F4285">
        <w:t>пять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="000365C0" w:rsidRPr="00D6288A">
        <w:rPr>
          <w:b/>
          <w:bCs/>
        </w:rPr>
        <w:t>протеза предплечья с микропроцессорным управлением</w:t>
      </w:r>
      <w:r w:rsidR="000365C0">
        <w:rPr>
          <w:bCs/>
        </w:rPr>
        <w:t xml:space="preserve"> с</w:t>
      </w:r>
      <w:r w:rsidRPr="009E2964">
        <w:rPr>
          <w:bCs/>
        </w:rPr>
        <w:t xml:space="preserve">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A83823" w:rsidRPr="00A83823">
        <w:rPr>
          <w:b/>
          <w:bCs/>
        </w:rPr>
        <w:t>6 162 530</w:t>
      </w:r>
      <w:r w:rsidR="00A83823">
        <w:rPr>
          <w:bCs/>
        </w:rPr>
        <w:t xml:space="preserve"> </w:t>
      </w:r>
      <w:r w:rsidR="00AE02FC">
        <w:rPr>
          <w:b/>
          <w:bCs/>
        </w:rPr>
        <w:t>рублей 67</w:t>
      </w:r>
      <w:r w:rsidRPr="009E2964">
        <w:rPr>
          <w:b/>
          <w:bCs/>
        </w:rPr>
        <w:t xml:space="preserve"> копеек</w:t>
      </w:r>
      <w:r w:rsidRPr="009E2964">
        <w:rPr>
          <w:bCs/>
        </w:rPr>
        <w:t>.</w:t>
      </w:r>
    </w:p>
    <w:p w:rsidR="00A83823" w:rsidRPr="00D21021" w:rsidRDefault="00A83823" w:rsidP="00A83823">
      <w:pPr>
        <w:widowControl w:val="0"/>
        <w:spacing w:after="0"/>
        <w:ind w:right="-39" w:firstLine="567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 xml:space="preserve"> </w:t>
      </w:r>
      <w:r w:rsidRPr="00DD2A22">
        <w:t>(с актами выполненны</w:t>
      </w:r>
      <w:bookmarkStart w:id="0" w:name="_GoBack"/>
      <w:bookmarkEnd w:id="0"/>
      <w:r w:rsidRPr="00DD2A22">
        <w:t>х работ)</w:t>
      </w:r>
      <w:r>
        <w:t xml:space="preserve">, </w:t>
      </w:r>
      <w:r w:rsidRPr="00DD2A22">
        <w:t>заключенных в соответствии с Федеральным законом № 44-ФЗ,</w:t>
      </w:r>
      <w:r w:rsidRPr="00E455AE">
        <w:t xml:space="preserve"> </w:t>
      </w:r>
      <w:r>
        <w:t xml:space="preserve">опубликованных на официальном сайте </w:t>
      </w:r>
      <w:hyperlink r:id="rId13" w:history="1">
        <w:r w:rsidRPr="0016371D">
          <w:rPr>
            <w:rStyle w:val="a7"/>
          </w:rPr>
          <w:t>www.zakupki.gov.ru</w:t>
        </w:r>
      </w:hyperlink>
      <w:r>
        <w:t xml:space="preserve">, </w:t>
      </w:r>
      <w:r w:rsidRPr="00E455AE">
        <w:t>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 </w:t>
      </w:r>
      <w:r w:rsidRPr="00DD2A22">
        <w:t xml:space="preserve">(с актами выполненных работ),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 w:rsidR="00A83823">
        <w:t xml:space="preserve">30 812 653 </w:t>
      </w:r>
      <w:r w:rsidR="00EC0C1F">
        <w:t>(</w:t>
      </w:r>
      <w:r w:rsidR="00A83823">
        <w:t>тридцать миллионов восемьсот двенадцать тысяч шестьсот пятьдесят три</w:t>
      </w:r>
      <w:r w:rsidR="00866465">
        <w:t>)</w:t>
      </w:r>
      <w:r w:rsidR="00EC0C1F">
        <w:t xml:space="preserve"> </w:t>
      </w:r>
      <w:r w:rsidR="00A83823">
        <w:t>рубля 35</w:t>
      </w:r>
      <w:r w:rsidR="00C758BD">
        <w:t xml:space="preserve"> коп</w:t>
      </w:r>
    </w:p>
    <w:p w:rsidR="00A648B6" w:rsidRPr="001518B0" w:rsidRDefault="00A648B6" w:rsidP="00A648B6">
      <w:r w:rsidRPr="001518B0">
        <w:lastRenderedPageBreak/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365C0"/>
    <w:rsid w:val="000D3D83"/>
    <w:rsid w:val="001657EC"/>
    <w:rsid w:val="0017004C"/>
    <w:rsid w:val="001B748D"/>
    <w:rsid w:val="001E1F6B"/>
    <w:rsid w:val="00231D62"/>
    <w:rsid w:val="00253277"/>
    <w:rsid w:val="002B235D"/>
    <w:rsid w:val="00314617"/>
    <w:rsid w:val="003A2CDA"/>
    <w:rsid w:val="00406FE0"/>
    <w:rsid w:val="004504B9"/>
    <w:rsid w:val="0056501F"/>
    <w:rsid w:val="00581F4F"/>
    <w:rsid w:val="005A3F9F"/>
    <w:rsid w:val="005F4285"/>
    <w:rsid w:val="00600040"/>
    <w:rsid w:val="00676EF3"/>
    <w:rsid w:val="0067766F"/>
    <w:rsid w:val="007772AF"/>
    <w:rsid w:val="007A1A90"/>
    <w:rsid w:val="007D4852"/>
    <w:rsid w:val="007E126D"/>
    <w:rsid w:val="00866465"/>
    <w:rsid w:val="00880167"/>
    <w:rsid w:val="00887906"/>
    <w:rsid w:val="00967A8D"/>
    <w:rsid w:val="009D4294"/>
    <w:rsid w:val="00A26ACC"/>
    <w:rsid w:val="00A648B6"/>
    <w:rsid w:val="00A712EA"/>
    <w:rsid w:val="00A83823"/>
    <w:rsid w:val="00AE02FC"/>
    <w:rsid w:val="00B43932"/>
    <w:rsid w:val="00BB099D"/>
    <w:rsid w:val="00BC2B56"/>
    <w:rsid w:val="00BE26C5"/>
    <w:rsid w:val="00C143DC"/>
    <w:rsid w:val="00C534C0"/>
    <w:rsid w:val="00C758BD"/>
    <w:rsid w:val="00C80B6D"/>
    <w:rsid w:val="00D545CD"/>
    <w:rsid w:val="00D6288A"/>
    <w:rsid w:val="00DE70F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83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2F00-0CC9-4A00-A4C0-25B72B32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Трофимова Клавдия Ивановна</cp:lastModifiedBy>
  <cp:revision>32</cp:revision>
  <cp:lastPrinted>2021-07-22T02:43:00Z</cp:lastPrinted>
  <dcterms:created xsi:type="dcterms:W3CDTF">2020-06-13T03:26:00Z</dcterms:created>
  <dcterms:modified xsi:type="dcterms:W3CDTF">2021-09-07T23:53:00Z</dcterms:modified>
</cp:coreProperties>
</file>