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="00A73812">
              <w:rPr>
                <w:rFonts w:cs="Times New Roman"/>
                <w:b/>
                <w:lang w:val="ru-RU"/>
              </w:rPr>
              <w:t>.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567D0E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</w:t>
                  </w:r>
                  <w:r w:rsidR="0076339D">
                    <w:rPr>
                      <w:rFonts w:cs="Times New Roman"/>
                      <w:lang w:val="ru-RU"/>
                    </w:rPr>
                    <w:lastRenderedPageBreak/>
                    <w:t>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(количество </w:t>
                  </w:r>
                  <w:r w:rsidR="00567D0E">
                    <w:rPr>
                      <w:rFonts w:cs="Times New Roman"/>
                      <w:lang w:val="ru-RU"/>
                    </w:rPr>
                    <w:t>изделий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) </w:t>
                  </w:r>
                  <w:r>
                    <w:rPr>
                      <w:rFonts w:cs="Times New Roman"/>
                      <w:lang w:val="ru-RU"/>
                    </w:rPr>
                    <w:t>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lastRenderedPageBreak/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991731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361339">
                    <w:rPr>
                      <w:rFonts w:cs="Times New Roman"/>
                      <w:lang w:val="ru-RU"/>
                    </w:rPr>
                    <w:t>(сумма цен контрактов)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991731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</w:t>
            </w:r>
            <w:r w:rsidR="00567D0E" w:rsidRPr="00785A6B">
              <w:rPr>
                <w:rFonts w:cs="Times New Roman"/>
                <w:b/>
                <w:lang w:val="ru-RU"/>
              </w:rPr>
              <w:t>Опыт участни</w:t>
            </w:r>
            <w:r w:rsidR="00567D0E">
              <w:rPr>
                <w:rFonts w:cs="Times New Roman"/>
                <w:b/>
                <w:lang w:val="ru-RU"/>
              </w:rPr>
              <w:t xml:space="preserve">ка конкурса по успешному выполнению работ по изготовлению протезов </w:t>
            </w:r>
            <w:r w:rsidR="00567D0E"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>
              <w:rPr>
                <w:rFonts w:cs="Times New Roman"/>
                <w:b/>
                <w:lang w:val="ru-RU"/>
              </w:rPr>
              <w:t xml:space="preserve"> (количество изделий)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 w:rsidR="00DD6D06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2</w:t>
            </w:r>
            <w:r w:rsidR="000F5933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шт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</w:t>
            </w:r>
            <w:r w:rsidR="00DD6D06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альное значение показателя – 10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</w:t>
            </w:r>
            <w:r w:rsidR="00DD6D06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десять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штук.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Pr="000F5933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0F5933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</w:p>
          <w:p w:rsidR="00E423D7" w:rsidRPr="000F5933" w:rsidRDefault="00E423D7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при этом </w:t>
            </w: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= КЗ x 100,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(количество изделий)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 w:rsidRPr="00567D0E">
              <w:rPr>
                <w:lang w:val="ru-RU"/>
              </w:rPr>
              <w:t xml:space="preserve"> </w:t>
            </w:r>
            <w:r w:rsidR="00567D0E" w:rsidRPr="00567D0E">
              <w:rPr>
                <w:rFonts w:cs="Times New Roman"/>
                <w:b/>
                <w:lang w:val="ru-RU"/>
              </w:rPr>
              <w:t>(сумма цен контрактов)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lastRenderedPageBreak/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</w:t>
            </w:r>
            <w:r w:rsidR="0010401A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олжен быть не менее </w:t>
            </w:r>
            <w:r w:rsidR="00AD717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1 104 077,67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3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Предельное необходимое максимальное 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значение </w:t>
            </w:r>
            <w:r w:rsidR="009B132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показателя</w:t>
            </w:r>
            <w:r w:rsidR="00AD717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5 520 388</w:t>
            </w:r>
            <w:r w:rsidR="006C46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D717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(пять миллионов пятьсот двадцать тысяч триста восемьдесят восемь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 рубл</w:t>
            </w:r>
            <w:r w:rsidR="00AD717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ей 35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копеек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при этом </w:t>
            </w:r>
            <w:proofErr w:type="spellStart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>НЦБmax</w:t>
            </w:r>
            <w:proofErr w:type="spellEnd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КЗ x 100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</w:t>
            </w:r>
            <w:r w:rsidR="005C0D83">
              <w:rPr>
                <w:rFonts w:cs="Times New Roman"/>
                <w:lang w:val="ru-RU"/>
              </w:rPr>
              <w:t>(сумма цен контрактов)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-ой Заявки по критерию ««квалификация участников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824BF3" w:rsidRDefault="00824BF3" w:rsidP="005C2111">
      <w:pPr>
        <w:pStyle w:val="5"/>
        <w:keepNext w:val="0"/>
        <w:widowControl w:val="0"/>
        <w:ind w:firstLine="0"/>
        <w:jc w:val="left"/>
        <w:rPr>
          <w:b w:val="0"/>
          <w:i w:val="0"/>
          <w:sz w:val="24"/>
          <w:szCs w:val="24"/>
        </w:rPr>
      </w:pPr>
    </w:p>
    <w:p w:rsidR="00577AC3" w:rsidRPr="00577AC3" w:rsidRDefault="00577AC3" w:rsidP="00991731">
      <w:pPr>
        <w:jc w:val="center"/>
        <w:rPr>
          <w:b/>
          <w:i/>
          <w:sz w:val="20"/>
          <w:szCs w:val="20"/>
          <w:lang w:val="ru-RU"/>
        </w:rPr>
      </w:pPr>
    </w:p>
    <w:p w:rsidR="004312A4" w:rsidRPr="004E63CA" w:rsidRDefault="00577AC3" w:rsidP="004312A4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объема.</w:t>
      </w:r>
    </w:p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991731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3522AD" w:rsidRPr="006145AF" w:rsidRDefault="004E63CA" w:rsidP="003522AD">
      <w:pPr>
        <w:pStyle w:val="21"/>
        <w:widowControl w:val="0"/>
        <w:overflowPunct/>
        <w:autoSpaceDE/>
        <w:rPr>
          <w:sz w:val="24"/>
        </w:rPr>
      </w:pPr>
      <w:r w:rsidRPr="006145AF">
        <w:rPr>
          <w:sz w:val="24"/>
        </w:rPr>
        <w:t xml:space="preserve">Сведения об опыте участника </w:t>
      </w:r>
      <w:r w:rsidRPr="006145AF">
        <w:rPr>
          <w:spacing w:val="-4"/>
          <w:sz w:val="24"/>
        </w:rPr>
        <w:t>закупки опыта по успешному выполнению работ сопоставимого характера и объема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991731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824BF3" w:rsidRPr="00824BF3" w:rsidRDefault="00824BF3">
      <w:pPr>
        <w:rPr>
          <w:lang w:val="ru-RU"/>
        </w:rPr>
      </w:pPr>
      <w:bookmarkStart w:id="0" w:name="_GoBack"/>
      <w:bookmarkEnd w:id="0"/>
    </w:p>
    <w:sectPr w:rsidR="00824BF3" w:rsidRPr="00824BF3" w:rsidSect="0099173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C4"/>
    <w:rsid w:val="000143AA"/>
    <w:rsid w:val="000271DF"/>
    <w:rsid w:val="000C3AC4"/>
    <w:rsid w:val="000E4122"/>
    <w:rsid w:val="000F5933"/>
    <w:rsid w:val="0010401A"/>
    <w:rsid w:val="001133CB"/>
    <w:rsid w:val="00114C6D"/>
    <w:rsid w:val="001A0906"/>
    <w:rsid w:val="001C24BE"/>
    <w:rsid w:val="00210D2A"/>
    <w:rsid w:val="002130CC"/>
    <w:rsid w:val="00220D3F"/>
    <w:rsid w:val="002355A6"/>
    <w:rsid w:val="002541D0"/>
    <w:rsid w:val="00257454"/>
    <w:rsid w:val="002662C5"/>
    <w:rsid w:val="002A5B7C"/>
    <w:rsid w:val="002D3A35"/>
    <w:rsid w:val="002D6277"/>
    <w:rsid w:val="002E217C"/>
    <w:rsid w:val="0033632F"/>
    <w:rsid w:val="00341758"/>
    <w:rsid w:val="003447F1"/>
    <w:rsid w:val="003522AD"/>
    <w:rsid w:val="00357138"/>
    <w:rsid w:val="00361339"/>
    <w:rsid w:val="003661B0"/>
    <w:rsid w:val="003E643C"/>
    <w:rsid w:val="003F6FB5"/>
    <w:rsid w:val="004312A4"/>
    <w:rsid w:val="004D4038"/>
    <w:rsid w:val="004E63CA"/>
    <w:rsid w:val="00504DC5"/>
    <w:rsid w:val="00505E40"/>
    <w:rsid w:val="00523A53"/>
    <w:rsid w:val="00527D75"/>
    <w:rsid w:val="00567D0E"/>
    <w:rsid w:val="00577AC3"/>
    <w:rsid w:val="00581D6F"/>
    <w:rsid w:val="00584215"/>
    <w:rsid w:val="00596D00"/>
    <w:rsid w:val="005B0777"/>
    <w:rsid w:val="005C0D83"/>
    <w:rsid w:val="005C2111"/>
    <w:rsid w:val="005D2BFA"/>
    <w:rsid w:val="006145AF"/>
    <w:rsid w:val="00647248"/>
    <w:rsid w:val="006516E2"/>
    <w:rsid w:val="00653428"/>
    <w:rsid w:val="006608C6"/>
    <w:rsid w:val="00684441"/>
    <w:rsid w:val="006A0F44"/>
    <w:rsid w:val="006C466B"/>
    <w:rsid w:val="007003B4"/>
    <w:rsid w:val="00705124"/>
    <w:rsid w:val="00721E5A"/>
    <w:rsid w:val="0076339D"/>
    <w:rsid w:val="00767D3B"/>
    <w:rsid w:val="007711D9"/>
    <w:rsid w:val="0077692B"/>
    <w:rsid w:val="0079530B"/>
    <w:rsid w:val="007C50AD"/>
    <w:rsid w:val="008177DB"/>
    <w:rsid w:val="00824BF3"/>
    <w:rsid w:val="008A63A6"/>
    <w:rsid w:val="00921D09"/>
    <w:rsid w:val="0092705C"/>
    <w:rsid w:val="00991731"/>
    <w:rsid w:val="009B1324"/>
    <w:rsid w:val="009B560D"/>
    <w:rsid w:val="009C0660"/>
    <w:rsid w:val="00A03EFF"/>
    <w:rsid w:val="00A644F1"/>
    <w:rsid w:val="00A73812"/>
    <w:rsid w:val="00A76F3A"/>
    <w:rsid w:val="00AD7174"/>
    <w:rsid w:val="00B2603C"/>
    <w:rsid w:val="00B27C78"/>
    <w:rsid w:val="00B40054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51334"/>
    <w:rsid w:val="00DC1976"/>
    <w:rsid w:val="00DD6D06"/>
    <w:rsid w:val="00DE4532"/>
    <w:rsid w:val="00E17327"/>
    <w:rsid w:val="00E2762B"/>
    <w:rsid w:val="00E423D7"/>
    <w:rsid w:val="00E508AD"/>
    <w:rsid w:val="00ED6C9D"/>
    <w:rsid w:val="00EE5DCC"/>
    <w:rsid w:val="00EF149F"/>
    <w:rsid w:val="00F00583"/>
    <w:rsid w:val="00F41065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ea.ekimov.13</cp:lastModifiedBy>
  <cp:revision>4</cp:revision>
  <cp:lastPrinted>2020-05-12T09:45:00Z</cp:lastPrinted>
  <dcterms:created xsi:type="dcterms:W3CDTF">2021-09-07T09:05:00Z</dcterms:created>
  <dcterms:modified xsi:type="dcterms:W3CDTF">2021-09-15T11:27:00Z</dcterms:modified>
</cp:coreProperties>
</file>