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13"/>
        <w:gridCol w:w="1960"/>
        <w:gridCol w:w="1776"/>
        <w:gridCol w:w="1729"/>
        <w:gridCol w:w="162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87361B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87361B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1. Цена контракта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Величина значимости критерия - 70 %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Коэффициент значимости критерия оценки - 0,7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Оценка критерия (баллы): - 100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а) в </w:t>
      </w:r>
      <w:proofErr w:type="gramStart"/>
      <w:r w:rsidRPr="0087361B">
        <w:rPr>
          <w:rFonts w:ascii="Times New Roman" w:hAnsi="Times New Roman" w:cs="Times New Roman"/>
          <w:sz w:val="24"/>
        </w:rPr>
        <w:t>случае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&gt;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proofErr w:type="gramEnd"/>
      <w:r w:rsidRPr="0087361B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lastRenderedPageBreak/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б) в </w:t>
      </w:r>
      <w:proofErr w:type="gramStart"/>
      <w:r w:rsidRPr="0087361B">
        <w:rPr>
          <w:rFonts w:ascii="Times New Roman" w:hAnsi="Times New Roman" w:cs="Times New Roman"/>
          <w:sz w:val="24"/>
        </w:rPr>
        <w:t>случае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&lt;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proofErr w:type="gramEnd"/>
      <w:r w:rsidRPr="0087361B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)/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оценивается.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7361B">
        <w:rPr>
          <w:rFonts w:ascii="Times New Roman" w:hAnsi="Times New Roman" w:cs="Times New Roman"/>
          <w:sz w:val="24"/>
        </w:rPr>
        <w:t>,7</w:t>
      </w:r>
      <w:proofErr w:type="gramEnd"/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 - рейтинг,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критерию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0,7 - коэффициент значимости указанного критерия.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Критерий, характеризующийся как </w:t>
      </w:r>
      <w:proofErr w:type="spellStart"/>
      <w:r w:rsidRPr="0087361B">
        <w:rPr>
          <w:rFonts w:ascii="Times New Roman" w:eastAsia="Calibri" w:hAnsi="Times New Roman" w:cs="Times New Roman"/>
          <w:b/>
          <w:sz w:val="24"/>
          <w:u w:val="single"/>
        </w:rPr>
        <w:t>нестоимостной</w:t>
      </w:r>
      <w:proofErr w:type="spellEnd"/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 критерий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Величина значимости критерия – 30 %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Коэффициент значимости критерия оценки – 0,30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Применяемые показатели данного критерия: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показателя:0,40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Наличие у участника закупки опыта по успешной поставке товаров сопоставимого характера (кресел-колясок с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7D7AF3">
        <w:rPr>
          <w:rFonts w:ascii="Times New Roman" w:eastAsia="Calibri" w:hAnsi="Times New Roman" w:cs="Times New Roman"/>
          <w:spacing w:val="-4"/>
          <w:sz w:val="24"/>
        </w:rPr>
        <w:t>118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Подтверждается копиями государственных контрактов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lastRenderedPageBreak/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1),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 xml:space="preserve">где: 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показателя:0,60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успешной поставке товаров сопоставимого характера (кресел-колясок с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</w:t>
      </w:r>
      <w:r w:rsidRPr="0087361B">
        <w:rPr>
          <w:rFonts w:ascii="Times New Roman" w:hAnsi="Times New Roman" w:cs="Times New Roman"/>
          <w:sz w:val="24"/>
        </w:rPr>
        <w:t xml:space="preserve">с </w:t>
      </w:r>
      <w:r w:rsidR="0087361B" w:rsidRPr="0087361B">
        <w:rPr>
          <w:rFonts w:ascii="Times New Roman" w:hAnsi="Times New Roman" w:cs="Times New Roman"/>
          <w:sz w:val="24"/>
        </w:rPr>
        <w:t>ручным приводом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B60470">
        <w:rPr>
          <w:rFonts w:ascii="Times New Roman" w:eastAsia="Calibri" w:hAnsi="Times New Roman" w:cs="Times New Roman"/>
          <w:spacing w:val="-4"/>
          <w:sz w:val="24"/>
        </w:rPr>
        <w:t>118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штук.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</w:t>
      </w:r>
      <w:bookmarkStart w:id="0" w:name="_GoBack"/>
      <w:bookmarkEnd w:id="0"/>
      <w:r w:rsidRPr="0087361B">
        <w:rPr>
          <w:rFonts w:ascii="Times New Roman" w:eastAsia="Calibri" w:hAnsi="Times New Roman" w:cs="Times New Roman"/>
          <w:spacing w:val="-4"/>
          <w:sz w:val="24"/>
        </w:rPr>
        <w:t>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2),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pacing w:val="-4"/>
          <w:sz w:val="24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=КЗ </w:t>
      </w:r>
      <w:proofErr w:type="gramStart"/>
      <w:r w:rsidRPr="0087361B">
        <w:rPr>
          <w:rFonts w:ascii="Times New Roman" w:eastAsia="Calibri" w:hAnsi="Times New Roman" w:cs="Times New Roman"/>
          <w:sz w:val="24"/>
        </w:rPr>
        <w:t>х(</w:t>
      </w:r>
      <w:proofErr w:type="gramEnd"/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 +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2)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1,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lastRenderedPageBreak/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 xml:space="preserve"> =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+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>-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–ой заявке;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«цена контракта»;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Порядок оценки заявок по критериям оценки заявок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Сумма величин значимости критериев оценки, применяемых заказчиком, составляет 100 процентов.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Для оценки заявок по каждому критерию оценки используется 100–балльная шкала оценки.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CA3E68" w:rsidRPr="0087361B" w:rsidRDefault="00CA3E68" w:rsidP="00CA3E68">
      <w:pPr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87361B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87361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87361B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количество 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E"/>
    <w:rsid w:val="000118E3"/>
    <w:rsid w:val="000A7E1C"/>
    <w:rsid w:val="000B11CE"/>
    <w:rsid w:val="0027549E"/>
    <w:rsid w:val="00325F05"/>
    <w:rsid w:val="00544BED"/>
    <w:rsid w:val="00755A39"/>
    <w:rsid w:val="007D7AF3"/>
    <w:rsid w:val="0087361B"/>
    <w:rsid w:val="00943029"/>
    <w:rsid w:val="00A907CB"/>
    <w:rsid w:val="00B404FE"/>
    <w:rsid w:val="00B60470"/>
    <w:rsid w:val="00CA3E68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Маравин Игнат Алексеевич</cp:lastModifiedBy>
  <cp:revision>12</cp:revision>
  <cp:lastPrinted>2021-06-11T04:56:00Z</cp:lastPrinted>
  <dcterms:created xsi:type="dcterms:W3CDTF">2020-04-13T06:00:00Z</dcterms:created>
  <dcterms:modified xsi:type="dcterms:W3CDTF">2021-09-11T08:01:00Z</dcterms:modified>
</cp:coreProperties>
</file>