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76" w:rsidRPr="00934276" w:rsidRDefault="001A3576" w:rsidP="001A357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1A3576" w:rsidRPr="00934276" w:rsidRDefault="001A3576" w:rsidP="001A357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1A3576" w:rsidRPr="009F3C6C" w:rsidRDefault="001A3576" w:rsidP="001A3576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1A3576" w:rsidRPr="009F3C6C" w:rsidTr="0001066C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3576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1A3576" w:rsidRPr="009F3C6C" w:rsidTr="0001066C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1A3576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1A3576" w:rsidRPr="009F3C6C" w:rsidTr="0001066C">
        <w:trPr>
          <w:trHeight w:val="898"/>
        </w:trPr>
        <w:tc>
          <w:tcPr>
            <w:tcW w:w="439" w:type="dxa"/>
            <w:gridSpan w:val="2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1A3576" w:rsidRPr="009F3C6C" w:rsidTr="0001066C">
        <w:trPr>
          <w:trHeight w:val="187"/>
        </w:trPr>
        <w:tc>
          <w:tcPr>
            <w:tcW w:w="9800" w:type="dxa"/>
            <w:gridSpan w:val="8"/>
          </w:tcPr>
          <w:p w:rsidR="001A3576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1A3576" w:rsidRPr="009F3C6C" w:rsidTr="0001066C">
        <w:tc>
          <w:tcPr>
            <w:tcW w:w="439" w:type="dxa"/>
            <w:gridSpan w:val="2"/>
            <w:vMerge w:val="restart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Rb</w:t>
            </w:r>
          </w:p>
        </w:tc>
      </w:tr>
      <w:tr w:rsidR="001A3576" w:rsidRPr="009F3C6C" w:rsidTr="0001066C">
        <w:tc>
          <w:tcPr>
            <w:tcW w:w="439" w:type="dxa"/>
            <w:gridSpan w:val="2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1A3576" w:rsidRPr="009F3C6C" w:rsidTr="0001066C">
        <w:tc>
          <w:tcPr>
            <w:tcW w:w="439" w:type="dxa"/>
            <w:gridSpan w:val="2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1A3576" w:rsidRPr="009F3C6C" w:rsidTr="0001066C">
        <w:tc>
          <w:tcPr>
            <w:tcW w:w="5240" w:type="dxa"/>
            <w:gridSpan w:val="4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1A3576" w:rsidRPr="009F3C6C" w:rsidRDefault="001A3576" w:rsidP="0001066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1A3576" w:rsidRPr="00934276" w:rsidRDefault="001A3576" w:rsidP="001A357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1A3576" w:rsidRPr="00934276" w:rsidRDefault="001A3576" w:rsidP="001A3576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r w:rsidRPr="00934276">
        <w:rPr>
          <w:sz w:val="24"/>
          <w:szCs w:val="24"/>
        </w:rPr>
        <w:t>ЦБi)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а) в случае если 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min &gt;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= Цmin / Цi х 100,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–количество баллов по критерию оценки «цена контракта»;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(предложение) которого оценивается;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б) в случае если Цmin 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>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= (Цmax - 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i)/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Цmax х 100,</w:t>
      </w:r>
    </w:p>
    <w:p w:rsidR="001A3576" w:rsidRPr="00934276" w:rsidRDefault="001A3576" w:rsidP="001A3576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заявка(предложение) которого оценивается.</w:t>
      </w:r>
    </w:p>
    <w:p w:rsidR="001A3576" w:rsidRPr="00934276" w:rsidRDefault="001A3576" w:rsidP="001A3576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A3576" w:rsidRPr="00934276" w:rsidRDefault="001A3576" w:rsidP="001A3576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A3576" w:rsidRPr="00934276" w:rsidRDefault="001A3576" w:rsidP="001A3576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>= ЦБi х 0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1A35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1A3576" w:rsidRPr="00934276" w:rsidRDefault="001A3576" w:rsidP="001A357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r>
        <w:rPr>
          <w:b/>
          <w:sz w:val="24"/>
          <w:szCs w:val="24"/>
          <w:lang w:eastAsia="ru-RU"/>
        </w:rPr>
        <w:t>Нестоимостной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1A35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934276">
        <w:rPr>
          <w:spacing w:val="-4"/>
          <w:sz w:val="24"/>
          <w:szCs w:val="24"/>
          <w:lang w:eastAsia="ru-RU"/>
        </w:rPr>
        <w:t>показателя:</w:t>
      </w:r>
      <w:r>
        <w:rPr>
          <w:spacing w:val="-4"/>
          <w:sz w:val="24"/>
          <w:szCs w:val="24"/>
          <w:lang w:eastAsia="ru-RU"/>
        </w:rPr>
        <w:t>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1A3576" w:rsidRPr="00934276" w:rsidRDefault="001A3576" w:rsidP="001A3576">
      <w:pPr>
        <w:pStyle w:val="a4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lastRenderedPageBreak/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  <w:r w:rsidRPr="00F0669B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плеча активного (тягового</w:t>
      </w:r>
      <w:r w:rsidRPr="00F0669B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плеча рабочего,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плеча косметического,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кисти косметического</w:t>
      </w:r>
      <w:r w:rsidRPr="00F0669B">
        <w:rPr>
          <w:rFonts w:ascii="Times New Roman" w:hAnsi="Times New Roman"/>
          <w:sz w:val="24"/>
          <w:szCs w:val="24"/>
          <w:lang w:eastAsia="ar-SA"/>
        </w:rPr>
        <w:t>, в том числе при вычленении и частичном вычленении кисти</w:t>
      </w:r>
      <w:r>
        <w:rPr>
          <w:rFonts w:ascii="Times New Roman" w:hAnsi="Times New Roman"/>
          <w:sz w:val="24"/>
          <w:szCs w:val="24"/>
          <w:lang w:eastAsia="ar-SA"/>
        </w:rPr>
        <w:t>, п</w:t>
      </w:r>
      <w:r w:rsidRPr="00F0669B">
        <w:rPr>
          <w:rFonts w:ascii="Times New Roman" w:hAnsi="Times New Roman"/>
          <w:sz w:val="24"/>
          <w:szCs w:val="24"/>
          <w:lang w:eastAsia="ar-SA"/>
        </w:rPr>
        <w:t>ротез</w:t>
      </w:r>
      <w:r>
        <w:rPr>
          <w:rFonts w:ascii="Times New Roman" w:hAnsi="Times New Roman"/>
          <w:sz w:val="24"/>
          <w:szCs w:val="24"/>
          <w:lang w:eastAsia="ar-SA"/>
        </w:rPr>
        <w:t>а пальца косметического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>
        <w:rPr>
          <w:rFonts w:ascii="Times New Roman" w:hAnsi="Times New Roman"/>
          <w:sz w:val="24"/>
          <w:szCs w:val="24"/>
          <w:lang w:eastAsia="ar-SA"/>
        </w:rPr>
        <w:t>нижних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3576" w:rsidRPr="00934276" w:rsidRDefault="001A3576" w:rsidP="001A3576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При этом, количество </w:t>
      </w:r>
      <w:r>
        <w:rPr>
          <w:sz w:val="24"/>
          <w:szCs w:val="24"/>
        </w:rPr>
        <w:t>предоставленных протезов в каждом контракте должно быть не менее 7 штук.</w:t>
      </w:r>
      <w:r>
        <w:rPr>
          <w:b/>
          <w:color w:val="FFFFFF"/>
          <w:sz w:val="24"/>
          <w:szCs w:val="24"/>
        </w:rPr>
        <w:t xml:space="preserve">       </w:t>
      </w:r>
      <w:r w:rsidRPr="00934276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 xml:space="preserve"> 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Сведения о наличии опыта участников подтверждается: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- копиями государственных и муниципальных контрактов, заключенных в соответствии с Федеральным законом № 44-ФЗ,</w:t>
      </w:r>
    </w:p>
    <w:p w:rsidR="001A3576" w:rsidRPr="00DE49D1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опубликованных на официальном сайте </w:t>
      </w:r>
      <w:hyperlink r:id="rId4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zakupki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gov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ru</w:t>
        </w:r>
      </w:hyperlink>
      <w:r w:rsidRPr="00DE49D1">
        <w:rPr>
          <w:sz w:val="24"/>
          <w:szCs w:val="24"/>
          <w:u w:val="single"/>
        </w:rPr>
        <w:t xml:space="preserve">, </w:t>
      </w:r>
      <w:r w:rsidRPr="00DE49D1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 w:rsidRPr="00DE49D1">
        <w:rPr>
          <w:sz w:val="24"/>
          <w:szCs w:val="24"/>
        </w:rPr>
        <w:t>по настоящему</w:t>
      </w:r>
      <w:proofErr w:type="gramEnd"/>
    </w:p>
    <w:p w:rsidR="001A3576" w:rsidRPr="00DE49D1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A3576" w:rsidRPr="00DE49D1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DE49D1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5" w:history="1">
        <w:r w:rsidRPr="00DE49D1">
          <w:rPr>
            <w:rStyle w:val="a3"/>
            <w:sz w:val="24"/>
            <w:szCs w:val="24"/>
            <w:lang w:val="en-US"/>
          </w:rPr>
          <w:t>www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zakupki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gov</w:t>
        </w:r>
        <w:r w:rsidRPr="00DE49D1">
          <w:rPr>
            <w:rStyle w:val="a3"/>
            <w:sz w:val="24"/>
            <w:szCs w:val="24"/>
          </w:rPr>
          <w:t>.</w:t>
        </w:r>
        <w:r w:rsidRPr="00DE49D1">
          <w:rPr>
            <w:rStyle w:val="a3"/>
            <w:sz w:val="24"/>
            <w:szCs w:val="24"/>
            <w:lang w:val="en-US"/>
          </w:rPr>
          <w:t>ru</w:t>
        </w:r>
      </w:hyperlink>
      <w:r w:rsidRPr="00DE49D1">
        <w:rPr>
          <w:sz w:val="24"/>
          <w:szCs w:val="24"/>
          <w:u w:val="single"/>
        </w:rPr>
        <w:t xml:space="preserve"> </w:t>
      </w:r>
      <w:r w:rsidRPr="00DE49D1">
        <w:rPr>
          <w:sz w:val="24"/>
          <w:szCs w:val="24"/>
        </w:rPr>
        <w:t>отсутствует документальное подтверждение фактического объема</w:t>
      </w:r>
    </w:p>
    <w:p w:rsidR="001A3576" w:rsidRPr="007B5178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DE49D1">
        <w:rPr>
          <w:sz w:val="24"/>
          <w:szCs w:val="24"/>
        </w:rPr>
        <w:t>выполненных работ.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A3576" w:rsidRPr="00E36DEA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 xml:space="preserve">Данный показатель рассчитывается следующим </w:t>
      </w:r>
      <w:r w:rsidRPr="00E36DEA">
        <w:rPr>
          <w:b/>
          <w:sz w:val="24"/>
          <w:szCs w:val="24"/>
        </w:rPr>
        <w:t>образом: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603544">
        <w:rPr>
          <w:sz w:val="24"/>
          <w:szCs w:val="24"/>
        </w:rPr>
        <w:t xml:space="preserve">Предельное необходимое максимальное значение </w:t>
      </w:r>
      <w:r w:rsidRPr="00AD1724">
        <w:rPr>
          <w:sz w:val="24"/>
          <w:szCs w:val="24"/>
        </w:rPr>
        <w:t xml:space="preserve">показателя – </w:t>
      </w:r>
      <w:r>
        <w:rPr>
          <w:sz w:val="24"/>
          <w:szCs w:val="24"/>
        </w:rPr>
        <w:t>35</w:t>
      </w:r>
      <w:r w:rsidRPr="00AD1724">
        <w:rPr>
          <w:sz w:val="24"/>
          <w:szCs w:val="24"/>
        </w:rPr>
        <w:t xml:space="preserve"> штук.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>&lt;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934276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8C049DE" wp14:editId="43DEA716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1A3576" w:rsidRPr="0091490C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1A3576" w:rsidRPr="0091490C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sz w:val="24"/>
          <w:szCs w:val="24"/>
        </w:rPr>
        <w:t>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плеча активного (тягового</w:t>
      </w:r>
      <w:r w:rsidRPr="00F0669B">
        <w:rPr>
          <w:sz w:val="24"/>
          <w:szCs w:val="24"/>
        </w:rPr>
        <w:t>)</w:t>
      </w:r>
      <w:r>
        <w:rPr>
          <w:sz w:val="24"/>
          <w:szCs w:val="24"/>
        </w:rPr>
        <w:t>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плеча рабочего,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плеча косметического,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кисти косметического</w:t>
      </w:r>
      <w:r w:rsidRPr="00F0669B">
        <w:rPr>
          <w:sz w:val="24"/>
          <w:szCs w:val="24"/>
        </w:rPr>
        <w:t>, в том числе при вычленении и частичном вычленении кисти</w:t>
      </w:r>
      <w:r>
        <w:rPr>
          <w:sz w:val="24"/>
          <w:szCs w:val="24"/>
        </w:rPr>
        <w:t>, п</w:t>
      </w:r>
      <w:r w:rsidRPr="00F0669B">
        <w:rPr>
          <w:sz w:val="24"/>
          <w:szCs w:val="24"/>
        </w:rPr>
        <w:t>ротез</w:t>
      </w:r>
      <w:r>
        <w:rPr>
          <w:sz w:val="24"/>
          <w:szCs w:val="24"/>
        </w:rPr>
        <w:t>а пальца косметического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</w:t>
      </w:r>
      <w:r>
        <w:rPr>
          <w:sz w:val="24"/>
          <w:szCs w:val="24"/>
        </w:rPr>
        <w:t>на участие в настоящем конкурсе</w:t>
      </w:r>
      <w:r w:rsidRPr="00934276">
        <w:rPr>
          <w:sz w:val="24"/>
          <w:szCs w:val="24"/>
        </w:rPr>
        <w:t>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5874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Pr="00BA2F8E">
        <w:rPr>
          <w:color w:val="000000"/>
          <w:sz w:val="24"/>
          <w:szCs w:val="24"/>
        </w:rPr>
        <w:t>1 185 433 (Один миллион сто восемьдесят пять тысяч четыреста тридцать три) рубля 07 копеек</w:t>
      </w:r>
      <w:r>
        <w:rPr>
          <w:color w:val="000000"/>
          <w:sz w:val="24"/>
          <w:szCs w:val="24"/>
        </w:rPr>
        <w:t>.</w:t>
      </w:r>
    </w:p>
    <w:p w:rsidR="001A3576" w:rsidRPr="00786DEB" w:rsidRDefault="001A3576" w:rsidP="001A3576">
      <w:pPr>
        <w:keepNext/>
        <w:widowControl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786DEB">
        <w:rPr>
          <w:sz w:val="24"/>
          <w:szCs w:val="24"/>
        </w:rPr>
        <w:t>наличии опыта участников подтверждается:</w:t>
      </w:r>
    </w:p>
    <w:p w:rsidR="001A3576" w:rsidRPr="009B7B2E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- копиями государственных и муниципальных контрактов, заключенных в соответствии с Федеральным законом № 44-ФЗ,</w:t>
      </w:r>
    </w:p>
    <w:p w:rsidR="001A3576" w:rsidRPr="009B7B2E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опубликованных на официальном сайте </w:t>
      </w:r>
      <w:hyperlink r:id="rId7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zakupki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gov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ru</w:t>
        </w:r>
      </w:hyperlink>
      <w:r w:rsidRPr="009B7B2E">
        <w:rPr>
          <w:sz w:val="24"/>
          <w:szCs w:val="24"/>
          <w:u w:val="single"/>
        </w:rPr>
        <w:t xml:space="preserve">, </w:t>
      </w:r>
      <w:r w:rsidRPr="009B7B2E">
        <w:rPr>
          <w:sz w:val="24"/>
          <w:szCs w:val="24"/>
        </w:rPr>
        <w:t>с приложением копий актов выполненных работ, иных документов, содержащих сведения об объеме выполненных работ;</w:t>
      </w:r>
    </w:p>
    <w:p w:rsidR="001A3576" w:rsidRPr="009B7B2E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proofErr w:type="gramStart"/>
      <w:r w:rsidRPr="009B7B2E">
        <w:rPr>
          <w:sz w:val="24"/>
          <w:szCs w:val="24"/>
        </w:rPr>
        <w:t>по настоящему</w:t>
      </w:r>
      <w:proofErr w:type="gramEnd"/>
    </w:p>
    <w:p w:rsidR="001A3576" w:rsidRPr="009B7B2E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 w:rsidRPr="009B7B2E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A3576" w:rsidRPr="009B7B2E" w:rsidRDefault="001A3576" w:rsidP="001A3576">
      <w:pPr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 w:rsidRPr="009B7B2E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8" w:history="1">
        <w:r w:rsidRPr="009B7B2E">
          <w:rPr>
            <w:rStyle w:val="a3"/>
            <w:sz w:val="24"/>
            <w:szCs w:val="24"/>
            <w:lang w:val="en-US"/>
          </w:rPr>
          <w:t>www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zakupki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gov</w:t>
        </w:r>
        <w:r w:rsidRPr="009B7B2E">
          <w:rPr>
            <w:rStyle w:val="a3"/>
            <w:sz w:val="24"/>
            <w:szCs w:val="24"/>
          </w:rPr>
          <w:t>.</w:t>
        </w:r>
        <w:r w:rsidRPr="009B7B2E">
          <w:rPr>
            <w:rStyle w:val="a3"/>
            <w:sz w:val="24"/>
            <w:szCs w:val="24"/>
            <w:lang w:val="en-US"/>
          </w:rPr>
          <w:t>ru</w:t>
        </w:r>
      </w:hyperlink>
      <w:r w:rsidRPr="009B7B2E">
        <w:rPr>
          <w:sz w:val="24"/>
          <w:szCs w:val="24"/>
          <w:u w:val="single"/>
        </w:rPr>
        <w:t xml:space="preserve"> </w:t>
      </w:r>
      <w:r w:rsidRPr="009B7B2E">
        <w:rPr>
          <w:sz w:val="24"/>
          <w:szCs w:val="24"/>
        </w:rPr>
        <w:t>отсутствует документальное подтверждение фактического объема</w:t>
      </w:r>
    </w:p>
    <w:p w:rsidR="001A3576" w:rsidRPr="00786DEB" w:rsidRDefault="001A3576" w:rsidP="001A3576">
      <w:pPr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выполненных работ</w:t>
      </w:r>
      <w:r w:rsidRPr="00786DEB">
        <w:rPr>
          <w:sz w:val="24"/>
          <w:szCs w:val="24"/>
        </w:rPr>
        <w:t>.</w:t>
      </w:r>
    </w:p>
    <w:p w:rsidR="001A35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:rsidR="001A3576" w:rsidRPr="00584980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0C6087">
        <w:rPr>
          <w:sz w:val="24"/>
          <w:szCs w:val="24"/>
        </w:rPr>
        <w:t xml:space="preserve">Предельное необходимое максимальное значение показателя – </w:t>
      </w:r>
      <w:r w:rsidRPr="000C6087">
        <w:t xml:space="preserve">5 927 165 </w:t>
      </w:r>
      <w:r w:rsidRPr="000C6087">
        <w:rPr>
          <w:sz w:val="24"/>
          <w:szCs w:val="24"/>
        </w:rPr>
        <w:t>(Пять миллионов девятьсот двадцать семь тысяч сто шестьдесят пять) рублей 35 копеек.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а) в случае если 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>&lt;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4FBCBDE0" wp14:editId="16CD0DC6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1A3576" w:rsidRPr="00934276" w:rsidRDefault="001A3576" w:rsidP="001A3576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A3576" w:rsidRPr="00934276" w:rsidRDefault="001A3576" w:rsidP="001A3576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1A3576" w:rsidRPr="00E36DEA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Rb</w:t>
      </w:r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Rb</w:t>
      </w:r>
      <w:r w:rsidRPr="00934276">
        <w:rPr>
          <w:sz w:val="24"/>
          <w:szCs w:val="24"/>
        </w:rPr>
        <w:t xml:space="preserve"> – рейтинг (количество баллов)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r w:rsidRPr="00934276">
        <w:rPr>
          <w:b/>
          <w:sz w:val="24"/>
          <w:szCs w:val="24"/>
          <w:lang w:val="en-US"/>
        </w:rPr>
        <w:t>Rb</w:t>
      </w:r>
      <w:r w:rsidRPr="00934276">
        <w:rPr>
          <w:b/>
          <w:sz w:val="24"/>
          <w:szCs w:val="24"/>
        </w:rPr>
        <w:t>,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 по критерию «Сумма цен единиц работ»;</w:t>
      </w:r>
    </w:p>
    <w:p w:rsidR="001A3576" w:rsidRPr="00934276" w:rsidRDefault="001A3576" w:rsidP="001A3576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Rb</w:t>
      </w:r>
      <w:r w:rsidRPr="00934276">
        <w:rPr>
          <w:sz w:val="24"/>
          <w:szCs w:val="24"/>
        </w:rPr>
        <w:t xml:space="preserve"> – рейтинг, присуждаемый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1788" w:rsidRDefault="00121788">
      <w:bookmarkStart w:id="0" w:name="_GoBack"/>
      <w:bookmarkEnd w:id="0"/>
    </w:p>
    <w:sectPr w:rsidR="001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4"/>
    <w:rsid w:val="00121788"/>
    <w:rsid w:val="001A3576"/>
    <w:rsid w:val="005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C284-6971-4DEF-998E-6DC5B12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7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57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A3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1A3576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A357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A35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upk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Екатерина Евгеньевна</dc:creator>
  <cp:keywords/>
  <dc:description/>
  <cp:lastModifiedBy>Шабанова Екатерина Евгеньевна</cp:lastModifiedBy>
  <cp:revision>2</cp:revision>
  <dcterms:created xsi:type="dcterms:W3CDTF">2021-10-07T03:54:00Z</dcterms:created>
  <dcterms:modified xsi:type="dcterms:W3CDTF">2021-10-07T03:55:00Z</dcterms:modified>
</cp:coreProperties>
</file>