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ПОРЯДОК</w:t>
            </w:r>
          </w:p>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рассмотрения и оценки заявок на участие в конкурсе</w:t>
            </w:r>
          </w:p>
        </w:tc>
      </w:tr>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I. Информация о заказчике и закупке товаров, работ, услуг для обеспечения государственных и муниципальных нужд (далее - закупка)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Коды</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Полное наименование</w:t>
            </w: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70178003855</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Borders>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Государственное учреждение – Томское региональное отделение Фонда социального страхования Российской Федерации</w:t>
            </w: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701701001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Место нахождения, телефон, адрес электронной почты</w:t>
            </w:r>
          </w:p>
        </w:tc>
        <w:tc>
          <w:tcPr>
            <w:tcW w:w="2778" w:type="dxa"/>
            <w:tcBorders>
              <w:top w:val="single" w:sz="4" w:space="0" w:color="auto"/>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634034, Российская Федерация, г. Томск, ул. Белинского, 61</w:t>
            </w:r>
            <w:r>
              <w:rPr>
                <w:sz w:val="24"/>
                <w:szCs w:val="24"/>
              </w:rPr>
              <w:t xml:space="preserve">, </w:t>
            </w:r>
            <w:r w:rsidRPr="00C92222">
              <w:rPr>
                <w:sz w:val="24"/>
                <w:szCs w:val="24"/>
              </w:rPr>
              <w:t>8 (3822) 608477</w:t>
            </w:r>
            <w:r>
              <w:rPr>
                <w:sz w:val="24"/>
                <w:szCs w:val="24"/>
              </w:rPr>
              <w:t xml:space="preserve">, </w:t>
            </w:r>
            <w:r w:rsidRPr="00C92222">
              <w:rPr>
                <w:sz w:val="24"/>
                <w:szCs w:val="24"/>
                <w:lang w:val="en-US"/>
              </w:rPr>
              <w:t>info</w:t>
            </w:r>
            <w:r w:rsidRPr="00C92222">
              <w:rPr>
                <w:sz w:val="24"/>
                <w:szCs w:val="24"/>
              </w:rPr>
              <w:t>@</w:t>
            </w:r>
            <w:proofErr w:type="spellStart"/>
            <w:r w:rsidRPr="00C92222">
              <w:rPr>
                <w:sz w:val="24"/>
                <w:szCs w:val="24"/>
                <w:lang w:val="en-US"/>
              </w:rPr>
              <w:t>ro</w:t>
            </w:r>
            <w:proofErr w:type="spellEnd"/>
            <w:r w:rsidRPr="00C92222">
              <w:rPr>
                <w:sz w:val="24"/>
                <w:szCs w:val="24"/>
              </w:rPr>
              <w:t>70.</w:t>
            </w:r>
            <w:proofErr w:type="spellStart"/>
            <w:r w:rsidRPr="00C92222">
              <w:rPr>
                <w:sz w:val="24"/>
                <w:szCs w:val="24"/>
                <w:lang w:val="en-US"/>
              </w:rPr>
              <w:t>fss</w:t>
            </w:r>
            <w:proofErr w:type="spellEnd"/>
            <w:r w:rsidRPr="00C92222">
              <w:rPr>
                <w:sz w:val="24"/>
                <w:szCs w:val="24"/>
              </w:rPr>
              <w:t>.</w:t>
            </w:r>
            <w:proofErr w:type="spellStart"/>
            <w:r w:rsidRPr="00C92222">
              <w:rPr>
                <w:sz w:val="24"/>
                <w:szCs w:val="24"/>
                <w:lang w:val="en-US"/>
              </w:rPr>
              <w:t>ru</w:t>
            </w:r>
            <w:proofErr w:type="spellEnd"/>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300833" w:rsidRDefault="00300833"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300833">
              <w:rPr>
                <w:rFonts w:eastAsiaTheme="minorHAnsi"/>
                <w:bCs/>
                <w:szCs w:val="22"/>
                <w:lang w:eastAsia="en-US"/>
              </w:rPr>
              <w:t>69701000001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бюджетного, автономного учреждения,</w:t>
            </w:r>
          </w:p>
        </w:tc>
        <w:tc>
          <w:tcPr>
            <w:tcW w:w="2778"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2778"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Место нахождения, телефон, адрес электронной почты </w:t>
            </w:r>
          </w:p>
        </w:tc>
        <w:tc>
          <w:tcPr>
            <w:tcW w:w="2778" w:type="dxa"/>
            <w:tcBorders>
              <w:top w:val="single" w:sz="4" w:space="0" w:color="auto"/>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объекта закупки</w:t>
            </w:r>
          </w:p>
        </w:tc>
        <w:tc>
          <w:tcPr>
            <w:tcW w:w="2778" w:type="dxa"/>
            <w:tcBorders>
              <w:top w:val="single" w:sz="4" w:space="0" w:color="auto"/>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8E1839">
              <w:rPr>
                <w:sz w:val="24"/>
                <w:szCs w:val="24"/>
              </w:rPr>
              <w:t>Выполнение работ по изготовлению ортопедической обуви для инвалидов в 2022 году</w:t>
            </w:r>
          </w:p>
        </w:tc>
        <w:tc>
          <w:tcPr>
            <w:tcW w:w="2381" w:type="dxa"/>
            <w:gridSpan w:val="2"/>
            <w:tcBorders>
              <w:top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bookmarkStart w:id="0" w:name="Par40"/>
            <w:bookmarkEnd w:id="0"/>
            <w:r w:rsidRPr="007663E5">
              <w:rPr>
                <w:rFonts w:eastAsiaTheme="minorHAnsi"/>
                <w:szCs w:val="22"/>
                <w:lang w:eastAsia="en-US"/>
              </w:rPr>
              <w:t>II. Критерии и показатели оценки заявок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7663E5" w:rsidRPr="007663E5">
        <w:tc>
          <w:tcPr>
            <w:tcW w:w="454" w:type="dxa"/>
            <w:tcBorders>
              <w:top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lastRenderedPageBreak/>
              <w:t>N</w:t>
            </w:r>
          </w:p>
        </w:tc>
        <w:tc>
          <w:tcPr>
            <w:tcW w:w="192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Критерий оценки</w:t>
            </w:r>
          </w:p>
        </w:tc>
        <w:tc>
          <w:tcPr>
            <w:tcW w:w="85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критерия оценки, процентов</w:t>
            </w:r>
          </w:p>
        </w:tc>
        <w:tc>
          <w:tcPr>
            <w:tcW w:w="188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w:t>
            </w:r>
          </w:p>
        </w:tc>
        <w:tc>
          <w:tcPr>
            <w:tcW w:w="85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оценки, процентов</w:t>
            </w:r>
          </w:p>
        </w:tc>
        <w:tc>
          <w:tcPr>
            <w:tcW w:w="2256"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 детализирующий показатель оценки</w:t>
            </w:r>
          </w:p>
        </w:tc>
        <w:tc>
          <w:tcPr>
            <w:tcW w:w="1277"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детализирующего показатель оценки, процентов</w:t>
            </w:r>
          </w:p>
        </w:tc>
        <w:tc>
          <w:tcPr>
            <w:tcW w:w="4252" w:type="dxa"/>
            <w:tcBorders>
              <w:top w:val="single" w:sz="4" w:space="0" w:color="auto"/>
              <w:left w:val="single" w:sz="4" w:space="0" w:color="auto"/>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Формула оценки или шкала оценки</w:t>
            </w:r>
          </w:p>
        </w:tc>
      </w:tr>
      <w:tr w:rsidR="007663E5" w:rsidRPr="007663E5">
        <w:tc>
          <w:tcPr>
            <w:tcW w:w="454"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1925"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Цена контракта, сумма цен единиц товара, работы, услуги</w:t>
            </w:r>
          </w:p>
        </w:tc>
        <w:tc>
          <w:tcPr>
            <w:tcW w:w="850" w:type="dxa"/>
            <w:tcBorders>
              <w:top w:val="single" w:sz="4" w:space="0" w:color="auto"/>
            </w:tcBorders>
          </w:tcPr>
          <w:p w:rsidR="007663E5" w:rsidRPr="007663E5" w:rsidRDefault="000615F8" w:rsidP="000615F8">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60</w:t>
            </w:r>
            <w:r w:rsidR="007663E5" w:rsidRPr="007663E5">
              <w:rPr>
                <w:rFonts w:eastAsiaTheme="minorHAnsi"/>
                <w:szCs w:val="22"/>
                <w:lang w:eastAsia="en-US"/>
              </w:rPr>
              <w:t xml:space="preserve"> </w:t>
            </w:r>
          </w:p>
        </w:tc>
        <w:tc>
          <w:tcPr>
            <w:tcW w:w="1882"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850"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2256"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1277"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4252" w:type="dxa"/>
            <w:tcBorders>
              <w:top w:val="single" w:sz="4" w:space="0" w:color="auto"/>
            </w:tcBorders>
          </w:tcPr>
          <w:p w:rsidR="00C32FC2" w:rsidRPr="00031FC5" w:rsidRDefault="00C32FC2" w:rsidP="00C32FC2">
            <w:pPr>
              <w:keepNext/>
              <w:keepLines/>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B867923" wp14:editId="60E1F19B">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Pr="00B42D5B">
              <w:rPr>
                <w:rFonts w:ascii="Times New Roman" w:hAnsi="Times New Roman" w:cs="Times New Roman"/>
                <w:color w:val="000000" w:themeColor="text1"/>
                <w:sz w:val="24"/>
                <w:szCs w:val="24"/>
              </w:rPr>
              <w:lastRenderedPageBreak/>
              <w:t xml:space="preserve">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определяется в </w:t>
            </w:r>
            <w:r w:rsidRPr="00031FC5">
              <w:rPr>
                <w:rFonts w:ascii="Times New Roman" w:hAnsi="Times New Roman" w:cs="Times New Roman"/>
                <w:sz w:val="24"/>
                <w:szCs w:val="24"/>
              </w:rPr>
              <w:lastRenderedPageBreak/>
              <w:t>следующем порядке:</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56FEA27F" wp14:editId="01ACBE27">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32FC2" w:rsidRPr="00031FC5" w:rsidRDefault="00C32FC2" w:rsidP="00C32FC2">
            <w:pPr>
              <w:pStyle w:val="ConsPlusNormal"/>
              <w:rPr>
                <w:rFonts w:ascii="Times New Roman" w:hAnsi="Times New Roman" w:cs="Times New Roman"/>
                <w:sz w:val="24"/>
                <w:szCs w:val="24"/>
              </w:rPr>
            </w:pPr>
          </w:p>
          <w:p w:rsidR="00C32FC2" w:rsidRPr="00B42D5B" w:rsidRDefault="00C32FC2" w:rsidP="00C32FC2">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w:t>
            </w:r>
            <w:r w:rsidRPr="00B42D5B">
              <w:rPr>
                <w:rFonts w:ascii="Times New Roman" w:hAnsi="Times New Roman" w:cs="Times New Roman"/>
                <w:color w:val="000000" w:themeColor="text1"/>
                <w:sz w:val="24"/>
                <w:szCs w:val="24"/>
              </w:rPr>
              <w:lastRenderedPageBreak/>
              <w:t xml:space="preserve">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4D290F"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C32FC2" w:rsidRPr="004D290F" w:rsidRDefault="00C32FC2" w:rsidP="00C32FC2">
            <w:pPr>
              <w:pStyle w:val="ConsPlusNormal"/>
              <w:ind w:firstLine="540"/>
              <w:rPr>
                <w:rFonts w:ascii="Times New Roman" w:hAnsi="Times New Roman" w:cs="Times New Roman"/>
                <w:sz w:val="24"/>
                <w:szCs w:val="24"/>
              </w:rPr>
            </w:pPr>
          </w:p>
          <w:p w:rsidR="00C32FC2" w:rsidRPr="004D290F" w:rsidRDefault="00C32FC2" w:rsidP="00C32FC2">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C32FC2" w:rsidRDefault="00C32FC2" w:rsidP="00C32FC2">
            <w:pPr>
              <w:pStyle w:val="ConsPlusNormal"/>
            </w:pPr>
          </w:p>
          <w:p w:rsidR="00C32FC2" w:rsidRDefault="00C32FC2" w:rsidP="00C32FC2">
            <w:pPr>
              <w:keepNext/>
              <w:keepLines/>
              <w:ind w:right="-39" w:firstLine="567"/>
            </w:pPr>
            <w:r>
              <w:rPr>
                <w:noProof/>
                <w:position w:val="-31"/>
                <w:lang w:eastAsia="ru-RU"/>
              </w:rPr>
              <w:drawing>
                <wp:inline distT="0" distB="0" distL="0" distR="0" wp14:anchorId="5B0793BE" wp14:editId="4CBBB4FE">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32FC2" w:rsidRDefault="00C32FC2" w:rsidP="00C32FC2">
            <w:pPr>
              <w:keepNext/>
              <w:keepLines/>
              <w:ind w:right="-39" w:firstLine="567"/>
            </w:pPr>
          </w:p>
          <w:p w:rsidR="00C32FC2" w:rsidRPr="00C9042B" w:rsidRDefault="00C32FC2" w:rsidP="00C32FC2">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32FC2" w:rsidRPr="00B42D5B" w:rsidRDefault="00C32FC2" w:rsidP="00C32FC2">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7663E5" w:rsidRPr="00D9342F" w:rsidRDefault="00C32FC2" w:rsidP="00D9342F">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tc>
      </w:tr>
      <w:tr w:rsidR="00CB1F26" w:rsidRPr="007663E5">
        <w:tc>
          <w:tcPr>
            <w:tcW w:w="454" w:type="dxa"/>
            <w:vMerge w:val="restart"/>
          </w:tcPr>
          <w:p w:rsidR="00CB1F26" w:rsidRPr="007663E5" w:rsidRDefault="00CB1F26"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bookmarkStart w:id="1" w:name="_GoBack" w:colFirst="7" w:colLast="7"/>
            <w:r>
              <w:rPr>
                <w:rFonts w:eastAsiaTheme="minorHAnsi"/>
                <w:szCs w:val="22"/>
                <w:lang w:eastAsia="en-US"/>
              </w:rPr>
              <w:lastRenderedPageBreak/>
              <w:t>2</w:t>
            </w:r>
            <w:r w:rsidRPr="007663E5">
              <w:rPr>
                <w:rFonts w:eastAsiaTheme="minorHAnsi"/>
                <w:szCs w:val="22"/>
                <w:lang w:eastAsia="en-US"/>
              </w:rPr>
              <w:t>.</w:t>
            </w:r>
          </w:p>
        </w:tc>
        <w:tc>
          <w:tcPr>
            <w:tcW w:w="1925" w:type="dxa"/>
            <w:vMerge w:val="restart"/>
          </w:tcPr>
          <w:p w:rsidR="00CB1F26" w:rsidRPr="007663E5" w:rsidRDefault="00CB1F26"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Квалификация участников закупки, в том числе наличие у них финансовых ресурсов, оборудования и других </w:t>
            </w:r>
            <w:r w:rsidRPr="007663E5">
              <w:rPr>
                <w:rFonts w:eastAsiaTheme="minorHAnsi"/>
                <w:szCs w:val="22"/>
                <w:lang w:eastAsia="en-US"/>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rsidR="00CB1F26" w:rsidRPr="007663E5" w:rsidRDefault="00CB1F26" w:rsidP="000615F8">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40</w:t>
            </w:r>
          </w:p>
        </w:tc>
        <w:tc>
          <w:tcPr>
            <w:tcW w:w="1882" w:type="dxa"/>
          </w:tcPr>
          <w:p w:rsidR="00CB1F26" w:rsidRPr="007663E5" w:rsidRDefault="00CB1F26"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финансовых ресурсов</w:t>
            </w:r>
          </w:p>
        </w:tc>
        <w:tc>
          <w:tcPr>
            <w:tcW w:w="850" w:type="dxa"/>
          </w:tcPr>
          <w:p w:rsidR="00CB1F26" w:rsidRPr="007663E5" w:rsidRDefault="00CB1F26" w:rsidP="00C32FC2">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20</w:t>
            </w:r>
          </w:p>
        </w:tc>
        <w:tc>
          <w:tcPr>
            <w:tcW w:w="2256" w:type="dxa"/>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признак N 1 (</w:t>
            </w:r>
            <w:r w:rsidRPr="00894601">
              <w:t>Стоимость чистых активов</w:t>
            </w:r>
            <w:r w:rsidRPr="007663E5">
              <w:rPr>
                <w:rFonts w:eastAsiaTheme="minorHAnsi"/>
                <w:szCs w:val="22"/>
                <w:lang w:eastAsia="en-US"/>
              </w:rPr>
              <w:t xml:space="preserve">) </w:t>
            </w:r>
          </w:p>
        </w:tc>
        <w:tc>
          <w:tcPr>
            <w:tcW w:w="1277" w:type="dxa"/>
          </w:tcPr>
          <w:p w:rsidR="00CB1F26" w:rsidRPr="007663E5" w:rsidRDefault="00CB1F26"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40</w:t>
            </w:r>
          </w:p>
        </w:tc>
        <w:tc>
          <w:tcPr>
            <w:tcW w:w="4252" w:type="dxa"/>
            <w:vMerge w:val="restart"/>
          </w:tcPr>
          <w:p w:rsidR="00CB1F26" w:rsidRPr="00B42D5B" w:rsidRDefault="00CB1F26" w:rsidP="00D9342F">
            <w:pPr>
              <w:pStyle w:val="a7"/>
              <w:rPr>
                <w:rFonts w:ascii="Times New Roman" w:hAnsi="Times New Roman"/>
                <w:bCs/>
                <w:sz w:val="24"/>
                <w:szCs w:val="24"/>
              </w:rPr>
            </w:pPr>
            <w:r w:rsidRPr="00B42D5B">
              <w:rPr>
                <w:rFonts w:ascii="Times New Roman" w:hAnsi="Times New Roman"/>
                <w:bCs/>
                <w:sz w:val="24"/>
                <w:szCs w:val="24"/>
              </w:rPr>
              <w:t xml:space="preserve">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w:t>
            </w:r>
            <w:r w:rsidRPr="00B42D5B">
              <w:rPr>
                <w:rFonts w:ascii="Times New Roman" w:hAnsi="Times New Roman"/>
                <w:bCs/>
                <w:sz w:val="24"/>
                <w:szCs w:val="24"/>
              </w:rPr>
              <w:lastRenderedPageBreak/>
              <w:t>основной деятельности с суммой договора.</w:t>
            </w:r>
          </w:p>
          <w:p w:rsidR="00CB1F26" w:rsidRPr="00E47052" w:rsidRDefault="00CB1F26" w:rsidP="00D9342F">
            <w:pPr>
              <w:pStyle w:val="a7"/>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CB1F26" w:rsidRPr="00B42D5B" w:rsidRDefault="00CB1F26" w:rsidP="00D9342F">
            <w:pPr>
              <w:pStyle w:val="a7"/>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CB1F26" w:rsidRPr="00B42D5B" w:rsidRDefault="00CB1F26" w:rsidP="00D9342F">
            <w:pPr>
              <w:pStyle w:val="a7"/>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rsidR="00CB1F26" w:rsidRPr="00984EA0" w:rsidRDefault="00CB1F26" w:rsidP="00D9342F">
            <w:pPr>
              <w:ind w:right="-39" w:firstLine="567"/>
              <w:rPr>
                <w:highlight w:val="yellow"/>
              </w:rPr>
            </w:pPr>
            <w:r w:rsidRPr="00B42D5B">
              <w:rPr>
                <w:noProof/>
                <w:position w:val="-26"/>
                <w:lang w:eastAsia="ru-RU"/>
              </w:rPr>
              <w:drawing>
                <wp:inline distT="0" distB="0" distL="0" distR="0" wp14:anchorId="7506A081" wp14:editId="1A4867A8">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B1F26" w:rsidRPr="00B42D5B" w:rsidRDefault="00CB1F26" w:rsidP="00D9342F">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rsidR="00CB1F26" w:rsidRPr="00B42D5B" w:rsidRDefault="00CB1F26" w:rsidP="00D9342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1F26" w:rsidRPr="00B42D5B" w:rsidRDefault="00CB1F26" w:rsidP="00D9342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lastRenderedPageBreak/>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1F26" w:rsidRPr="00B42D5B" w:rsidRDefault="00CB1F26" w:rsidP="00D9342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1F26" w:rsidRPr="00B42D5B" w:rsidRDefault="00CB1F26" w:rsidP="00D9342F">
            <w:pPr>
              <w:ind w:right="-39" w:firstLine="567"/>
            </w:pPr>
          </w:p>
          <w:p w:rsidR="00CB1F26" w:rsidRPr="00CC0DFD" w:rsidRDefault="00CB1F26" w:rsidP="00D9342F">
            <w:pPr>
              <w:snapToGrid w:val="0"/>
              <w:ind w:right="-94"/>
              <w:contextualSpacing/>
            </w:pPr>
            <w:r>
              <w:rPr>
                <w:w w:val="105"/>
              </w:rPr>
              <w:t>Не</w:t>
            </w:r>
            <w:r w:rsidRPr="00B42D5B">
              <w:rPr>
                <w:w w:val="105"/>
              </w:rPr>
              <w:t>представление</w:t>
            </w:r>
            <w:r w:rsidRPr="00B42D5B">
              <w:t xml:space="preserve"> в составе заявки на </w:t>
            </w:r>
            <w:r w:rsidRPr="00B42D5B">
              <w:lastRenderedPageBreak/>
              <w:t>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CB1F26" w:rsidRPr="007663E5" w:rsidRDefault="00CB1F26" w:rsidP="00D9342F">
            <w:pPr>
              <w:autoSpaceDE w:val="0"/>
              <w:autoSpaceDN w:val="0"/>
              <w:adjustRightInd w:val="0"/>
              <w:spacing w:line="240" w:lineRule="auto"/>
              <w:jc w:val="center"/>
              <w:rPr>
                <w:rFonts w:eastAsiaTheme="minorHAnsi"/>
                <w:szCs w:val="22"/>
                <w:lang w:eastAsia="en-US"/>
              </w:rPr>
            </w:pPr>
          </w:p>
        </w:tc>
      </w:tr>
      <w:bookmarkEnd w:id="1"/>
      <w:tr w:rsidR="00CB1F26" w:rsidRPr="007663E5">
        <w:tc>
          <w:tcPr>
            <w:tcW w:w="454"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925" w:type="dxa"/>
            <w:vMerge/>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882" w:type="dxa"/>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2256" w:type="dxa"/>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признак N </w:t>
            </w:r>
            <w:r>
              <w:rPr>
                <w:rFonts w:eastAsiaTheme="minorHAnsi"/>
                <w:szCs w:val="22"/>
                <w:lang w:eastAsia="en-US"/>
              </w:rPr>
              <w:t>2</w:t>
            </w:r>
            <w:r w:rsidRPr="007663E5">
              <w:rPr>
                <w:rFonts w:eastAsiaTheme="minorHAnsi"/>
                <w:szCs w:val="22"/>
                <w:lang w:eastAsia="en-US"/>
              </w:rPr>
              <w:t xml:space="preserve"> (</w:t>
            </w:r>
            <w:r w:rsidRPr="00894601">
              <w:t xml:space="preserve">Коэффициент обеспеченности </w:t>
            </w:r>
            <w:r w:rsidRPr="00894601">
              <w:lastRenderedPageBreak/>
              <w:t>собственными оборотными средствами</w:t>
            </w:r>
            <w:r w:rsidRPr="007663E5">
              <w:rPr>
                <w:rFonts w:eastAsiaTheme="minorHAnsi"/>
                <w:szCs w:val="22"/>
                <w:lang w:eastAsia="en-US"/>
              </w:rPr>
              <w:t xml:space="preserve">) </w:t>
            </w:r>
          </w:p>
        </w:tc>
        <w:tc>
          <w:tcPr>
            <w:tcW w:w="1277" w:type="dxa"/>
          </w:tcPr>
          <w:p w:rsidR="00CB1F26" w:rsidRPr="007663E5"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20</w:t>
            </w:r>
          </w:p>
        </w:tc>
        <w:tc>
          <w:tcPr>
            <w:tcW w:w="4252" w:type="dxa"/>
            <w:vMerge/>
          </w:tcPr>
          <w:p w:rsidR="00CB1F26" w:rsidRPr="00B42D5B" w:rsidRDefault="00CB1F26" w:rsidP="00CB1F26">
            <w:pPr>
              <w:pStyle w:val="a7"/>
              <w:rPr>
                <w:rFonts w:ascii="Times New Roman" w:hAnsi="Times New Roman"/>
                <w:bCs/>
                <w:sz w:val="24"/>
                <w:szCs w:val="24"/>
              </w:rPr>
            </w:pPr>
          </w:p>
        </w:tc>
      </w:tr>
      <w:tr w:rsidR="00CB1F26" w:rsidRPr="007663E5">
        <w:tc>
          <w:tcPr>
            <w:tcW w:w="454"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925" w:type="dxa"/>
            <w:vMerge/>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882" w:type="dxa"/>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2256" w:type="dxa"/>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признак N </w:t>
            </w:r>
            <w:r>
              <w:rPr>
                <w:rFonts w:eastAsiaTheme="minorHAnsi"/>
                <w:szCs w:val="22"/>
                <w:lang w:eastAsia="en-US"/>
              </w:rPr>
              <w:t>3</w:t>
            </w:r>
            <w:r w:rsidRPr="007663E5">
              <w:rPr>
                <w:rFonts w:eastAsiaTheme="minorHAnsi"/>
                <w:szCs w:val="22"/>
                <w:lang w:eastAsia="en-US"/>
              </w:rPr>
              <w:t xml:space="preserve"> (</w:t>
            </w:r>
            <w:r>
              <w:t>Коэффициент</w:t>
            </w:r>
            <w:r w:rsidRPr="00894601">
              <w:t xml:space="preserve"> соизмеримости годовой выручки от основной деятельности с суммой договора (КСВ)</w:t>
            </w:r>
            <w:r w:rsidRPr="007663E5">
              <w:rPr>
                <w:rFonts w:eastAsiaTheme="minorHAnsi"/>
                <w:szCs w:val="22"/>
                <w:lang w:eastAsia="en-US"/>
              </w:rPr>
              <w:t xml:space="preserve">) </w:t>
            </w:r>
          </w:p>
        </w:tc>
        <w:tc>
          <w:tcPr>
            <w:tcW w:w="1277" w:type="dxa"/>
          </w:tcPr>
          <w:p w:rsidR="00CB1F26" w:rsidRPr="007663E5"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40</w:t>
            </w:r>
          </w:p>
        </w:tc>
        <w:tc>
          <w:tcPr>
            <w:tcW w:w="4252" w:type="dxa"/>
            <w:vMerge/>
          </w:tcPr>
          <w:p w:rsidR="00CB1F26" w:rsidRPr="00B42D5B" w:rsidRDefault="00CB1F26" w:rsidP="00CB1F26">
            <w:pPr>
              <w:pStyle w:val="a7"/>
              <w:rPr>
                <w:rFonts w:ascii="Times New Roman" w:hAnsi="Times New Roman"/>
                <w:bCs/>
                <w:sz w:val="24"/>
                <w:szCs w:val="24"/>
              </w:rPr>
            </w:pPr>
          </w:p>
        </w:tc>
      </w:tr>
      <w:tr w:rsidR="00D9342F" w:rsidRPr="007663E5">
        <w:tc>
          <w:tcPr>
            <w:tcW w:w="454" w:type="dxa"/>
            <w:vMerge/>
          </w:tcPr>
          <w:p w:rsidR="00D9342F" w:rsidRPr="007663E5"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925" w:type="dxa"/>
            <w:vMerge/>
          </w:tcPr>
          <w:p w:rsidR="00D9342F" w:rsidRPr="007663E5"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850" w:type="dxa"/>
            <w:vMerge/>
          </w:tcPr>
          <w:p w:rsidR="00D9342F" w:rsidRPr="007663E5"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882"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опыта работы, связанного с предметом контракта</w:t>
            </w:r>
          </w:p>
        </w:tc>
        <w:tc>
          <w:tcPr>
            <w:tcW w:w="850" w:type="dxa"/>
          </w:tcPr>
          <w:p w:rsidR="00D9342F" w:rsidRPr="007663E5"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30</w:t>
            </w:r>
          </w:p>
        </w:tc>
        <w:tc>
          <w:tcPr>
            <w:tcW w:w="2256"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признак N 1 (общая цена исполненных участником закупки договоров)</w:t>
            </w:r>
          </w:p>
        </w:tc>
        <w:tc>
          <w:tcPr>
            <w:tcW w:w="1277" w:type="dxa"/>
          </w:tcPr>
          <w:p w:rsidR="00D9342F" w:rsidRPr="007663E5"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100</w:t>
            </w:r>
          </w:p>
        </w:tc>
        <w:tc>
          <w:tcPr>
            <w:tcW w:w="4252" w:type="dxa"/>
          </w:tcPr>
          <w:p w:rsidR="00D9342F" w:rsidRPr="00752E9D" w:rsidRDefault="00D9342F" w:rsidP="00D9342F">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p>
          <w:p w:rsidR="00D9342F" w:rsidRDefault="00D9342F" w:rsidP="00D9342F">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выполнение работ по изготовлению сложной ортопедической обуви сопоставимого характера и объема, а также акты приемки выполненных работ, составленные при исполнении таких договоров. </w:t>
            </w:r>
          </w:p>
          <w:p w:rsidR="00D9342F" w:rsidRPr="00682D49" w:rsidRDefault="00D9342F" w:rsidP="00D9342F">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D9342F" w:rsidRPr="000E7B6F" w:rsidRDefault="00D9342F" w:rsidP="00D9342F">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 xml:space="preserve">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w:t>
            </w:r>
            <w:r w:rsidRPr="000E7B6F">
              <w:rPr>
                <w:rFonts w:ascii="Times New Roman" w:hAnsi="Times New Roman"/>
                <w:sz w:val="24"/>
                <w:szCs w:val="24"/>
              </w:rPr>
              <w:lastRenderedPageBreak/>
              <w:t>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9342F" w:rsidRPr="00CC0DFD" w:rsidRDefault="00D9342F" w:rsidP="00D9342F">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D9342F" w:rsidRPr="00CC0DFD" w:rsidRDefault="00D9342F" w:rsidP="00D9342F">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D9342F" w:rsidRPr="00CC0DFD" w:rsidRDefault="00D9342F" w:rsidP="00D9342F">
            <w:pPr>
              <w:ind w:right="-39" w:firstLine="567"/>
            </w:pPr>
            <w:r w:rsidRPr="00CC0DFD">
              <w:rPr>
                <w:noProof/>
                <w:position w:val="-26"/>
                <w:lang w:eastAsia="ru-RU"/>
              </w:rPr>
              <w:drawing>
                <wp:inline distT="0" distB="0" distL="0" distR="0" wp14:anchorId="6078BAF1" wp14:editId="12A8A87D">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D9342F" w:rsidRPr="00CC0DFD" w:rsidRDefault="00D9342F" w:rsidP="00D9342F">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D9342F" w:rsidRPr="00CC0DFD" w:rsidRDefault="00D9342F" w:rsidP="00D9342F">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B42D5B">
              <w:rPr>
                <w:rFonts w:ascii="Times New Roman" w:hAnsi="Times New Roman" w:cs="Times New Roman"/>
                <w:sz w:val="24"/>
                <w:szCs w:val="24"/>
              </w:rPr>
              <w:t>;</w:t>
            </w:r>
          </w:p>
          <w:p w:rsidR="00D9342F" w:rsidRPr="00CC0DFD" w:rsidRDefault="00D9342F" w:rsidP="00D9342F">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lastRenderedPageBreak/>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rFonts w:ascii="Times New Roman" w:hAnsi="Times New Roman" w:cs="Times New Roman"/>
                <w:sz w:val="24"/>
                <w:szCs w:val="24"/>
              </w:rPr>
              <w:t>"</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342F" w:rsidRPr="00CC0DFD" w:rsidRDefault="00D9342F" w:rsidP="00D9342F">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342F" w:rsidRPr="00CC0DFD" w:rsidRDefault="00D9342F" w:rsidP="00D9342F">
            <w:pPr>
              <w:ind w:right="-39" w:firstLine="567"/>
            </w:pPr>
          </w:p>
          <w:p w:rsidR="00D9342F" w:rsidRPr="00CC0DFD" w:rsidRDefault="00D9342F" w:rsidP="00D9342F">
            <w:pPr>
              <w:snapToGrid w:val="0"/>
              <w:ind w:right="-94" w:firstLine="567"/>
              <w:contextualSpacing/>
            </w:pPr>
            <w:r>
              <w:rPr>
                <w:w w:val="105"/>
              </w:rPr>
              <w:t>Не</w:t>
            </w:r>
            <w:r w:rsidRPr="00CC0DFD">
              <w:rPr>
                <w:w w:val="105"/>
              </w:rPr>
              <w:t>представление</w:t>
            </w:r>
            <w:r w:rsidRPr="00CC0DFD">
              <w:t xml:space="preserve"> в составе заявки на </w:t>
            </w:r>
            <w:r w:rsidRPr="00CC0DFD">
              <w:lastRenderedPageBreak/>
              <w:t>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D9342F" w:rsidRPr="007663E5"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p>
        </w:tc>
      </w:tr>
      <w:tr w:rsidR="00D9342F" w:rsidRPr="007663E5">
        <w:tc>
          <w:tcPr>
            <w:tcW w:w="454"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925"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882" w:type="dxa"/>
            <w:tcBorders>
              <w:bottom w:val="single" w:sz="4" w:space="0" w:color="auto"/>
            </w:tcBorders>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специалистов и иных работников определенного уровня квалификации</w:t>
            </w:r>
          </w:p>
        </w:tc>
        <w:tc>
          <w:tcPr>
            <w:tcW w:w="850" w:type="dxa"/>
          </w:tcPr>
          <w:p w:rsidR="00D9342F" w:rsidRPr="007663E5"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50</w:t>
            </w:r>
          </w:p>
        </w:tc>
        <w:tc>
          <w:tcPr>
            <w:tcW w:w="2256" w:type="dxa"/>
          </w:tcPr>
          <w:p w:rsidR="00D9342F" w:rsidRPr="003D6E6F" w:rsidRDefault="00D9342F" w:rsidP="00CF7C7D">
            <w:pPr>
              <w:widowControl/>
              <w:tabs>
                <w:tab w:val="clear" w:pos="552"/>
              </w:tabs>
              <w:suppressAutoHyphens w:val="0"/>
              <w:autoSpaceDE w:val="0"/>
              <w:autoSpaceDN w:val="0"/>
              <w:adjustRightInd w:val="0"/>
              <w:spacing w:line="240" w:lineRule="auto"/>
              <w:rPr>
                <w:rFonts w:eastAsiaTheme="minorHAnsi"/>
                <w:szCs w:val="22"/>
                <w:lang w:eastAsia="en-US"/>
              </w:rPr>
            </w:pPr>
            <w:r w:rsidRPr="003D6E6F">
              <w:rPr>
                <w:rFonts w:eastAsiaTheme="minorHAnsi"/>
                <w:szCs w:val="22"/>
                <w:lang w:eastAsia="en-US"/>
              </w:rPr>
              <w:t>признак N 1 (</w:t>
            </w:r>
            <w:r w:rsidR="00CF7C7D" w:rsidRPr="003D6E6F">
              <w:rPr>
                <w:sz w:val="24"/>
                <w:szCs w:val="24"/>
              </w:rPr>
              <w:t>одновременное наличие специалистов и иных работников, их квалификация, необходимые для выполнения работ, являющихся объектом закупки, а также документов, подтверждающих наличие специалистов и иных работников, их квалификацию</w:t>
            </w:r>
            <w:r w:rsidRPr="003D6E6F">
              <w:rPr>
                <w:rFonts w:eastAsiaTheme="minorHAnsi"/>
                <w:szCs w:val="22"/>
                <w:lang w:eastAsia="en-US"/>
              </w:rPr>
              <w:t xml:space="preserve">) </w:t>
            </w:r>
          </w:p>
        </w:tc>
        <w:tc>
          <w:tcPr>
            <w:tcW w:w="1277" w:type="dxa"/>
          </w:tcPr>
          <w:p w:rsidR="00D9342F" w:rsidRPr="003D6E6F" w:rsidRDefault="00CF7C7D"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3D6E6F">
              <w:rPr>
                <w:rFonts w:eastAsiaTheme="minorHAnsi"/>
                <w:szCs w:val="22"/>
                <w:lang w:eastAsia="en-US"/>
              </w:rPr>
              <w:t>100</w:t>
            </w:r>
          </w:p>
        </w:tc>
        <w:tc>
          <w:tcPr>
            <w:tcW w:w="4252" w:type="dxa"/>
          </w:tcPr>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Для оценки заявок по данному показателю устанавливается:</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 врач-ортопед (либо </w:t>
            </w:r>
            <w:r w:rsidRPr="003D6E6F">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Pr="003D6E6F">
              <w:rPr>
                <w:rFonts w:ascii="Times New Roman" w:hAnsi="Times New Roman"/>
                <w:sz w:val="24"/>
                <w:szCs w:val="24"/>
              </w:rPr>
              <w:t>;</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 инженер-протезист (техник-протезист, техник, механик протезно-ортопедических изделий); </w:t>
            </w:r>
          </w:p>
          <w:p w:rsidR="003D6E6F" w:rsidRPr="003D6E6F" w:rsidRDefault="003D6E6F" w:rsidP="003D6E6F">
            <w:pPr>
              <w:ind w:right="-39" w:firstLine="567"/>
            </w:pPr>
            <w:r w:rsidRPr="003D6E6F">
              <w:t xml:space="preserve">   - модельер колодок (инженер-технолог, технолог, </w:t>
            </w:r>
            <w:proofErr w:type="spellStart"/>
            <w:r w:rsidRPr="003D6E6F">
              <w:t>колодочник</w:t>
            </w:r>
            <w:proofErr w:type="spellEnd"/>
            <w:r w:rsidRPr="003D6E6F">
              <w:t>, раскройщик, мастер обувного цеха, модельер-закройщик).</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lastRenderedPageBreak/>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документы, подтверждающие предусмотренную в соответствии с </w:t>
            </w:r>
            <w:r w:rsidRPr="003D6E6F">
              <w:rPr>
                <w:rFonts w:ascii="Times New Roman" w:hAnsi="Times New Roman"/>
                <w:sz w:val="24"/>
                <w:szCs w:val="24"/>
              </w:rPr>
              <w:lastRenderedPageBreak/>
              <w:t xml:space="preserve">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3D6E6F" w:rsidRPr="003D6E6F" w:rsidRDefault="003D6E6F" w:rsidP="003D6E6F">
            <w:pPr>
              <w:pStyle w:val="a7"/>
              <w:rPr>
                <w:rFonts w:ascii="Times New Roman" w:hAnsi="Times New Roman"/>
                <w:sz w:val="24"/>
                <w:szCs w:val="24"/>
              </w:rPr>
            </w:pP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lastRenderedPageBreak/>
              <w:t>Данный показатель (</w:t>
            </w:r>
            <w:proofErr w:type="spellStart"/>
            <w:r w:rsidRPr="003D6E6F">
              <w:rPr>
                <w:rFonts w:ascii="Times New Roman" w:hAnsi="Times New Roman"/>
                <w:sz w:val="24"/>
                <w:szCs w:val="24"/>
              </w:rPr>
              <w:t>БХ</w:t>
            </w:r>
            <w:r w:rsidRPr="003D6E6F">
              <w:rPr>
                <w:rFonts w:ascii="Times New Roman" w:hAnsi="Times New Roman"/>
                <w:sz w:val="24"/>
                <w:szCs w:val="24"/>
                <w:vertAlign w:val="subscript"/>
              </w:rPr>
              <w:t>i</w:t>
            </w:r>
            <w:proofErr w:type="spellEnd"/>
            <w:r w:rsidRPr="003D6E6F">
              <w:rPr>
                <w:rFonts w:ascii="Times New Roman" w:hAnsi="Times New Roman"/>
                <w:sz w:val="24"/>
                <w:szCs w:val="24"/>
              </w:rPr>
              <w:t>) рассчитывается следующим образом:</w:t>
            </w:r>
          </w:p>
          <w:p w:rsidR="003D6E6F" w:rsidRPr="003D6E6F" w:rsidRDefault="003D6E6F" w:rsidP="003D6E6F">
            <w:pPr>
              <w:ind w:right="-39" w:firstLine="567"/>
            </w:pPr>
            <w:r w:rsidRPr="003D6E6F">
              <w:rPr>
                <w:noProof/>
                <w:position w:val="-26"/>
                <w:lang w:eastAsia="ru-RU"/>
              </w:rPr>
              <w:drawing>
                <wp:inline distT="0" distB="0" distL="0" distR="0" wp14:anchorId="6BC8C470" wp14:editId="1024DD59">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3D6E6F" w:rsidRPr="003D6E6F" w:rsidRDefault="003D6E6F" w:rsidP="003D6E6F">
            <w:pPr>
              <w:ind w:right="-39" w:firstLine="567"/>
            </w:pPr>
          </w:p>
          <w:p w:rsidR="003D6E6F" w:rsidRPr="003D6E6F" w:rsidRDefault="003D6E6F" w:rsidP="003D6E6F">
            <w:pPr>
              <w:pStyle w:val="ConsPlusNormal"/>
              <w:ind w:firstLine="540"/>
              <w:rPr>
                <w:rFonts w:ascii="Times New Roman" w:hAnsi="Times New Roman" w:cs="Times New Roman"/>
                <w:sz w:val="24"/>
                <w:szCs w:val="24"/>
              </w:rPr>
            </w:pPr>
            <w:r w:rsidRPr="003D6E6F">
              <w:rPr>
                <w:rFonts w:ascii="Times New Roman" w:hAnsi="Times New Roman" w:cs="Times New Roman"/>
                <w:sz w:val="24"/>
                <w:szCs w:val="24"/>
              </w:rPr>
              <w:t>где:</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max</w:t>
            </w:r>
            <w:proofErr w:type="spellEnd"/>
            <w:r w:rsidRPr="003D6E6F">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i</w:t>
            </w:r>
            <w:proofErr w:type="spellEnd"/>
            <w:r w:rsidRPr="003D6E6F">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w:t>
            </w:r>
            <w:r w:rsidRPr="003D6E6F">
              <w:rPr>
                <w:rFonts w:ascii="Times New Roman" w:hAnsi="Times New Roman" w:cs="Times New Roman"/>
                <w:sz w:val="24"/>
                <w:szCs w:val="24"/>
              </w:rPr>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min</w:t>
            </w:r>
            <w:proofErr w:type="spellEnd"/>
            <w:r w:rsidRPr="003D6E6F">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snapToGrid w:val="0"/>
              <w:ind w:right="-94" w:firstLine="567"/>
              <w:contextualSpacing/>
              <w:rPr>
                <w:w w:val="105"/>
              </w:rPr>
            </w:pPr>
          </w:p>
          <w:p w:rsidR="003D6E6F" w:rsidRPr="003D6E6F" w:rsidRDefault="003D6E6F" w:rsidP="003D6E6F">
            <w:pPr>
              <w:snapToGrid w:val="0"/>
              <w:ind w:right="-94" w:firstLine="567"/>
              <w:contextualSpacing/>
            </w:pPr>
            <w:r w:rsidRPr="003D6E6F">
              <w:rPr>
                <w:w w:val="105"/>
              </w:rPr>
              <w:t>Непредставление</w:t>
            </w:r>
            <w:r w:rsidRPr="003D6E6F">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D9342F" w:rsidRPr="003D6E6F" w:rsidRDefault="00D9342F"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p>
        </w:tc>
      </w:tr>
    </w:tbl>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6838" w:h="11905" w:orient="landscape"/>
          <w:pgMar w:top="1701" w:right="1134" w:bottom="850" w:left="1134" w:header="0" w:footer="0" w:gutter="0"/>
          <w:cols w:space="720"/>
          <w:noEndnote/>
        </w:sectPr>
      </w:pPr>
    </w:p>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63E5" w:rsidRPr="007663E5">
        <w:tc>
          <w:tcPr>
            <w:tcW w:w="9071"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ar40" w:history="1">
              <w:r w:rsidRPr="007663E5">
                <w:rPr>
                  <w:rFonts w:eastAsiaTheme="minorHAnsi"/>
                  <w:color w:val="0000FF"/>
                  <w:szCs w:val="22"/>
                  <w:lang w:eastAsia="en-US"/>
                </w:rPr>
                <w:t>разделом II</w:t>
              </w:r>
            </w:hyperlink>
            <w:r w:rsidRPr="007663E5">
              <w:rPr>
                <w:rFonts w:eastAsiaTheme="minorHAnsi"/>
                <w:szCs w:val="22"/>
                <w:lang w:eastAsia="en-US"/>
              </w:rPr>
              <w:t xml:space="preserve"> настоящего документа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N</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66" w:history="1">
              <w:r w:rsidRPr="007663E5">
                <w:rPr>
                  <w:rFonts w:eastAsiaTheme="minorHAnsi"/>
                  <w:color w:val="0000FF"/>
                  <w:szCs w:val="22"/>
                  <w:lang w:eastAsia="en-US"/>
                </w:rPr>
                <w:t>графой 3</w:t>
              </w:r>
            </w:hyperlink>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Положение о применения критерия оценки, показателя оценки, показателя оценки, детализирующего показатель оценки</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2</w:t>
            </w: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bookmarkStart w:id="3" w:name="Par166"/>
            <w:bookmarkEnd w:id="3"/>
            <w:r w:rsidRPr="007663E5">
              <w:rPr>
                <w:rFonts w:eastAsiaTheme="minorHAnsi"/>
                <w:szCs w:val="22"/>
                <w:lang w:eastAsia="en-US"/>
              </w:rPr>
              <w:t>3</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bl>
    <w:p w:rsid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Pr="007663E5"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sectPr w:rsidR="002209B4" w:rsidRPr="0076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1"/>
    <w:rsid w:val="000615F8"/>
    <w:rsid w:val="0007650B"/>
    <w:rsid w:val="000C524E"/>
    <w:rsid w:val="001D4AC7"/>
    <w:rsid w:val="002209B4"/>
    <w:rsid w:val="00292218"/>
    <w:rsid w:val="00300833"/>
    <w:rsid w:val="003214C3"/>
    <w:rsid w:val="003D6E6F"/>
    <w:rsid w:val="00532358"/>
    <w:rsid w:val="007663E5"/>
    <w:rsid w:val="00795253"/>
    <w:rsid w:val="008C0261"/>
    <w:rsid w:val="008E12C0"/>
    <w:rsid w:val="00933CFB"/>
    <w:rsid w:val="00B470BF"/>
    <w:rsid w:val="00B93E64"/>
    <w:rsid w:val="00C32FC2"/>
    <w:rsid w:val="00CB1F26"/>
    <w:rsid w:val="00CF7C7D"/>
    <w:rsid w:val="00D9342F"/>
    <w:rsid w:val="00F6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077F-D95A-4BAE-BCCE-C2DDA40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C0"/>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12C0"/>
    <w:pPr>
      <w:widowControl/>
      <w:tabs>
        <w:tab w:val="clear" w:pos="552"/>
      </w:tabs>
      <w:suppressAutoHyphens w:val="0"/>
      <w:spacing w:after="120" w:line="240" w:lineRule="auto"/>
    </w:pPr>
    <w:rPr>
      <w:sz w:val="24"/>
      <w:szCs w:val="24"/>
      <w:lang w:eastAsia="ru-RU"/>
    </w:rPr>
  </w:style>
  <w:style w:type="character" w:customStyle="1" w:styleId="a4">
    <w:name w:val="Основной текст Знак"/>
    <w:basedOn w:val="a0"/>
    <w:link w:val="a3"/>
    <w:uiPriority w:val="99"/>
    <w:rsid w:val="008E12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2FC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2FC2"/>
    <w:rPr>
      <w:rFonts w:ascii="Segoe UI" w:eastAsia="Times New Roman" w:hAnsi="Segoe UI" w:cs="Segoe UI"/>
      <w:sz w:val="18"/>
      <w:szCs w:val="18"/>
      <w:lang w:eastAsia="ar-SA"/>
    </w:rPr>
  </w:style>
  <w:style w:type="paragraph" w:customStyle="1" w:styleId="ConsPlusNormal">
    <w:name w:val="ConsPlusNormal"/>
    <w:link w:val="ConsPlusNormal0"/>
    <w:rsid w:val="00C32F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32FC2"/>
    <w:rPr>
      <w:rFonts w:ascii="Arial" w:eastAsia="Times New Roman" w:hAnsi="Arial" w:cs="Arial"/>
      <w:sz w:val="20"/>
      <w:szCs w:val="20"/>
      <w:lang w:eastAsia="ru-RU"/>
    </w:rPr>
  </w:style>
  <w:style w:type="paragraph" w:styleId="a7">
    <w:name w:val="No Spacing"/>
    <w:uiPriority w:val="1"/>
    <w:qFormat/>
    <w:rsid w:val="00D9342F"/>
    <w:pPr>
      <w:spacing w:after="0" w:line="240" w:lineRule="auto"/>
      <w:ind w:firstLine="709"/>
      <w:jc w:val="both"/>
    </w:pPr>
    <w:rPr>
      <w:rFonts w:ascii="Calibri" w:eastAsia="Calibri" w:hAnsi="Calibri" w:cs="Times New Roman"/>
    </w:rPr>
  </w:style>
  <w:style w:type="character" w:styleId="a8">
    <w:name w:val="Strong"/>
    <w:basedOn w:val="a0"/>
    <w:uiPriority w:val="22"/>
    <w:qFormat/>
    <w:rsid w:val="00300833"/>
    <w:rPr>
      <w:b/>
      <w:bCs/>
    </w:rPr>
  </w:style>
  <w:style w:type="paragraph" w:customStyle="1" w:styleId="a9">
    <w:name w:val="Пункт"/>
    <w:basedOn w:val="a"/>
    <w:rsid w:val="002209B4"/>
    <w:pPr>
      <w:widowControl/>
      <w:tabs>
        <w:tab w:val="clear" w:pos="552"/>
        <w:tab w:val="num" w:pos="1980"/>
      </w:tabs>
      <w:suppressAutoHyphens w:val="0"/>
      <w:spacing w:line="240" w:lineRule="auto"/>
      <w:ind w:left="1404" w:hanging="504"/>
      <w:jc w:val="both"/>
    </w:pPr>
    <w:rPr>
      <w:sz w:val="24"/>
      <w:szCs w:val="28"/>
      <w:lang w:eastAsia="ru-RU"/>
    </w:rPr>
  </w:style>
  <w:style w:type="table" w:customStyle="1" w:styleId="25">
    <w:name w:val="Сетка таблицы25"/>
    <w:basedOn w:val="a1"/>
    <w:next w:val="aa"/>
    <w:uiPriority w:val="39"/>
    <w:rsid w:val="0022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2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F980-CCBF-4C28-86F6-9A51EB31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17</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19</cp:revision>
  <cp:lastPrinted>2022-01-14T01:08:00Z</cp:lastPrinted>
  <dcterms:created xsi:type="dcterms:W3CDTF">2022-01-11T03:16:00Z</dcterms:created>
  <dcterms:modified xsi:type="dcterms:W3CDTF">2022-01-14T10:45:00Z</dcterms:modified>
</cp:coreProperties>
</file>