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7E8" w:rsidRDefault="00C247E8" w:rsidP="00C247E8">
      <w:pPr>
        <w:keepLines/>
        <w:widowControl w:val="0"/>
        <w:jc w:val="center"/>
        <w:outlineLvl w:val="0"/>
        <w:rPr>
          <w:b/>
          <w:caps/>
          <w:color w:val="000000" w:themeColor="text1"/>
          <w:kern w:val="28"/>
          <w:lang w:eastAsia="ru-RU"/>
        </w:rPr>
      </w:pPr>
      <w:r>
        <w:rPr>
          <w:b/>
          <w:caps/>
          <w:color w:val="000000" w:themeColor="text1"/>
          <w:kern w:val="28"/>
          <w:lang w:eastAsia="ru-RU"/>
        </w:rPr>
        <w:t>КРИТЕРИИ ОЦЕНКИ ЗАЯВОК, ВЕЛИЧИНЫ ЗНАЧИМОСТИ ЭТИХ КРИТЕРИЕВ, ПОРЯДОК РАССМОТРЕНИЯ И ОЦЕНКИ ЗАЯВОК НА УЧАСТИЕ В ОТКРЫТОМ КОНКУРСЕ В ЭЛЕКТРОННОЙ ФОРМЕ</w:t>
      </w:r>
    </w:p>
    <w:p w:rsidR="00C247E8" w:rsidRDefault="00C247E8" w:rsidP="00C247E8">
      <w:pPr>
        <w:keepLines/>
        <w:widowControl w:val="0"/>
        <w:jc w:val="both"/>
      </w:pPr>
    </w:p>
    <w:p w:rsidR="00C247E8" w:rsidRDefault="00C247E8" w:rsidP="00C247E8">
      <w:pPr>
        <w:keepLines/>
        <w:widowControl w:val="0"/>
        <w:autoSpaceDE w:val="0"/>
        <w:autoSpaceDN w:val="0"/>
        <w:adjustRightInd w:val="0"/>
        <w:jc w:val="center"/>
        <w:rPr>
          <w:b/>
        </w:rPr>
      </w:pPr>
      <w:r>
        <w:rPr>
          <w:b/>
        </w:rPr>
        <w:t>Выполнение работ по обеспечению инвалидов протезом предплечья с микропроцессорным управлением в 2022 году</w:t>
      </w:r>
    </w:p>
    <w:p w:rsidR="00C247E8" w:rsidRDefault="00C247E8" w:rsidP="00C247E8">
      <w:pPr>
        <w:keepLines/>
        <w:widowControl w:val="0"/>
        <w:pBdr>
          <w:bottom w:val="single" w:sz="12" w:space="1" w:color="auto"/>
        </w:pBdr>
        <w:autoSpaceDE w:val="0"/>
        <w:autoSpaceDN w:val="0"/>
        <w:adjustRightInd w:val="0"/>
      </w:pPr>
    </w:p>
    <w:p w:rsidR="00C247E8" w:rsidRDefault="00C247E8" w:rsidP="00C247E8">
      <w:pPr>
        <w:keepLines/>
        <w:widowControl w:val="0"/>
        <w:autoSpaceDE w:val="0"/>
        <w:autoSpaceDN w:val="0"/>
        <w:adjustRightInd w:val="0"/>
        <w:jc w:val="center"/>
      </w:pPr>
      <w:r>
        <w:t>(предмет закупки)</w:t>
      </w:r>
    </w:p>
    <w:p w:rsidR="00C247E8" w:rsidRPr="0087610D" w:rsidRDefault="00C247E8" w:rsidP="00C247E8">
      <w:pPr>
        <w:tabs>
          <w:tab w:val="left" w:pos="6735"/>
        </w:tabs>
        <w:ind w:firstLine="567"/>
        <w:jc w:val="both"/>
      </w:pPr>
      <w:r w:rsidRPr="0087610D">
        <w:t>Оценка заявок на участие в открытом конкурсе в электронной форме осуществляется в соответствии со ст. 32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Положением об оценке заявок на участие в закупке товаров, работ, услуг для обеспечения государственных и муниципальных нужд, утвержденным постановлением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p w:rsidR="00C247E8" w:rsidRPr="0087610D" w:rsidRDefault="00C247E8" w:rsidP="00C247E8">
      <w:pPr>
        <w:tabs>
          <w:tab w:val="left" w:pos="6735"/>
        </w:tabs>
        <w:ind w:firstLine="567"/>
        <w:jc w:val="both"/>
      </w:pPr>
      <w:r w:rsidRPr="0087610D">
        <w:t>Оценка заявок на участие в открытом конкурсе в электронной форме осуществляется с использованием следующих критериев оценки заявок:</w:t>
      </w:r>
    </w:p>
    <w:p w:rsidR="00C247E8" w:rsidRPr="0087610D" w:rsidRDefault="00C247E8" w:rsidP="00C247E8">
      <w:pPr>
        <w:ind w:firstLine="540"/>
        <w:jc w:val="both"/>
      </w:pPr>
      <w:r w:rsidRPr="0087610D">
        <w:t>1) цена контракта, сумма цен единиц товара, работы, услуги;</w:t>
      </w:r>
    </w:p>
    <w:p w:rsidR="00C247E8" w:rsidRPr="0087610D" w:rsidRDefault="00C247E8" w:rsidP="00C247E8">
      <w:pPr>
        <w:ind w:firstLine="540"/>
        <w:jc w:val="both"/>
      </w:pPr>
      <w:r w:rsidRPr="0087610D">
        <w:t>2)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tabs>
          <w:tab w:val="left" w:pos="6735"/>
        </w:tabs>
        <w:ind w:firstLine="540"/>
        <w:jc w:val="both"/>
      </w:pPr>
    </w:p>
    <w:p w:rsidR="00C247E8" w:rsidRPr="0087610D" w:rsidRDefault="00C247E8" w:rsidP="00C247E8">
      <w:pPr>
        <w:tabs>
          <w:tab w:val="left" w:pos="6735"/>
        </w:tabs>
        <w:ind w:firstLine="540"/>
        <w:jc w:val="both"/>
      </w:pPr>
      <w:r w:rsidRPr="0087610D">
        <w:t>Величина значимости критерия оценки, выраженная в процентах:</w:t>
      </w:r>
    </w:p>
    <w:p w:rsidR="00C247E8" w:rsidRPr="0087610D" w:rsidRDefault="00C247E8" w:rsidP="00C247E8">
      <w:pPr>
        <w:ind w:firstLine="540"/>
        <w:jc w:val="both"/>
      </w:pPr>
      <w:r w:rsidRPr="0087610D">
        <w:t>а) цена контракта, сумма цен единиц товара, работы, услуги – 60%;</w:t>
      </w:r>
    </w:p>
    <w:p w:rsidR="00C247E8" w:rsidRPr="0087610D" w:rsidRDefault="00C247E8" w:rsidP="00C247E8">
      <w:pPr>
        <w:tabs>
          <w:tab w:val="left" w:pos="6735"/>
        </w:tabs>
        <w:ind w:firstLine="540"/>
        <w:jc w:val="both"/>
      </w:pPr>
      <w:r w:rsidRPr="0087610D">
        <w:t>б)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 – 40%.</w:t>
      </w:r>
    </w:p>
    <w:p w:rsidR="00C247E8" w:rsidRPr="0087610D" w:rsidRDefault="00C247E8" w:rsidP="00C247E8">
      <w:pPr>
        <w:tabs>
          <w:tab w:val="left" w:pos="6735"/>
        </w:tabs>
        <w:ind w:firstLine="540"/>
        <w:jc w:val="both"/>
      </w:pPr>
      <w:r w:rsidRPr="0087610D">
        <w:t>Сумма величин значимости критериев оценки составляет 100 %.</w:t>
      </w:r>
    </w:p>
    <w:p w:rsidR="00C247E8" w:rsidRPr="0087610D" w:rsidRDefault="00C247E8" w:rsidP="00C247E8">
      <w:pPr>
        <w:tabs>
          <w:tab w:val="left" w:pos="6735"/>
        </w:tabs>
        <w:ind w:firstLine="567"/>
        <w:jc w:val="both"/>
      </w:pPr>
    </w:p>
    <w:p w:rsidR="00C247E8" w:rsidRPr="0087610D" w:rsidRDefault="00C247E8" w:rsidP="00C247E8">
      <w:pPr>
        <w:tabs>
          <w:tab w:val="left" w:pos="6735"/>
        </w:tabs>
        <w:ind w:firstLine="567"/>
        <w:jc w:val="both"/>
      </w:pPr>
      <w:r w:rsidRPr="0087610D">
        <w:t>При оценке по критерию квалификации участников закупки:</w:t>
      </w:r>
    </w:p>
    <w:p w:rsidR="00C247E8" w:rsidRPr="0087610D" w:rsidRDefault="00C247E8" w:rsidP="00C247E8">
      <w:pPr>
        <w:ind w:firstLine="540"/>
        <w:jc w:val="both"/>
      </w:pPr>
      <w:r w:rsidRPr="0087610D">
        <w:t>а) применяются показатели оценки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rsidR="00C247E8" w:rsidRPr="0087610D" w:rsidRDefault="00C247E8" w:rsidP="00C247E8">
      <w:pPr>
        <w:ind w:firstLine="540"/>
        <w:jc w:val="both"/>
      </w:pPr>
      <w:r w:rsidRPr="0087610D">
        <w:lastRenderedPageBreak/>
        <w:t>б) в отношении каждого показателя оценки устанавливается значимость показателя оценки (вес показателя оценки в процентах в совокупности всех показателей оценки, детализирующих оценку заявок по соответствующему критерию оценки). Сумма величин значимости всех применяемых показателей оценки по критерию оценки составляет 100 процентов;</w:t>
      </w:r>
    </w:p>
    <w:p w:rsidR="00C247E8" w:rsidRPr="0087610D" w:rsidRDefault="00C247E8" w:rsidP="00C247E8">
      <w:pPr>
        <w:tabs>
          <w:tab w:val="left" w:pos="6735"/>
        </w:tabs>
        <w:ind w:firstLine="567"/>
        <w:jc w:val="both"/>
      </w:pPr>
      <w:r w:rsidRPr="0087610D">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C247E8" w:rsidRPr="0087610D" w:rsidRDefault="00C247E8" w:rsidP="00C247E8">
      <w:pPr>
        <w:tabs>
          <w:tab w:val="left" w:pos="6735"/>
        </w:tabs>
        <w:ind w:firstLine="567"/>
        <w:jc w:val="both"/>
      </w:pPr>
    </w:p>
    <w:p w:rsidR="00C247E8" w:rsidRPr="0087610D" w:rsidRDefault="00C247E8" w:rsidP="00C247E8">
      <w:pPr>
        <w:tabs>
          <w:tab w:val="left" w:pos="6735"/>
        </w:tabs>
        <w:ind w:firstLine="567"/>
        <w:jc w:val="both"/>
      </w:pPr>
      <w:r w:rsidRPr="0087610D">
        <w:t>При применения показателей оценки по критерию оценки «квалификация участников закупки»:</w:t>
      </w:r>
    </w:p>
    <w:p w:rsidR="00C247E8" w:rsidRPr="0087610D" w:rsidRDefault="00C247E8" w:rsidP="00C247E8">
      <w:pPr>
        <w:tabs>
          <w:tab w:val="left" w:pos="6735"/>
        </w:tabs>
        <w:ind w:firstLine="567"/>
        <w:jc w:val="both"/>
      </w:pPr>
      <w:r w:rsidRPr="0087610D">
        <w:t>а) применяются детализирующие показатели;</w:t>
      </w:r>
    </w:p>
    <w:p w:rsidR="00C247E8" w:rsidRPr="0087610D" w:rsidRDefault="00C247E8" w:rsidP="00C247E8">
      <w:pPr>
        <w:tabs>
          <w:tab w:val="left" w:pos="6735"/>
        </w:tabs>
        <w:ind w:firstLine="567"/>
        <w:jc w:val="both"/>
      </w:pPr>
      <w:r w:rsidRPr="0087610D">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C247E8" w:rsidRPr="0087610D" w:rsidRDefault="00C247E8" w:rsidP="00C247E8">
      <w:pPr>
        <w:tabs>
          <w:tab w:val="left" w:pos="6735"/>
        </w:tabs>
        <w:ind w:firstLine="567"/>
        <w:jc w:val="both"/>
      </w:pPr>
      <w:r w:rsidRPr="0087610D">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C247E8" w:rsidRPr="0087610D" w:rsidRDefault="00C247E8" w:rsidP="00C247E8">
      <w:pPr>
        <w:jc w:val="center"/>
        <w:rPr>
          <w:b/>
        </w:rPr>
      </w:pPr>
      <w:r w:rsidRPr="0087610D">
        <w:rPr>
          <w:b/>
        </w:rPr>
        <w:t>КРИТЕРИИ ОЦЕНКИ ЗАЯВОК НА УЧАСТИЕ В КОНКУРСЕ, ВЕЛИЧИНЫ ЗНАЧИМОСТИ ЭТИХ КРИТЕРИЕВ</w:t>
      </w:r>
    </w:p>
    <w:p w:rsidR="00C247E8" w:rsidRPr="0087610D" w:rsidRDefault="00C247E8" w:rsidP="00C247E8">
      <w:pPr>
        <w:tabs>
          <w:tab w:val="left" w:pos="6735"/>
        </w:tabs>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
        <w:gridCol w:w="2134"/>
        <w:gridCol w:w="2999"/>
        <w:gridCol w:w="2134"/>
        <w:gridCol w:w="1867"/>
        <w:gridCol w:w="2478"/>
        <w:gridCol w:w="2571"/>
      </w:tblGrid>
      <w:tr w:rsidR="00C247E8" w:rsidRPr="0087610D" w:rsidTr="00E424CD">
        <w:tc>
          <w:tcPr>
            <w:tcW w:w="129" w:type="pct"/>
            <w:hideMark/>
          </w:tcPr>
          <w:p w:rsidR="00C247E8" w:rsidRPr="0087610D" w:rsidRDefault="00C247E8" w:rsidP="00E424CD">
            <w:pPr>
              <w:jc w:val="center"/>
            </w:pPr>
            <w:r w:rsidRPr="0087610D">
              <w:t>№</w:t>
            </w:r>
          </w:p>
        </w:tc>
        <w:tc>
          <w:tcPr>
            <w:tcW w:w="733" w:type="pct"/>
            <w:hideMark/>
          </w:tcPr>
          <w:p w:rsidR="00C247E8" w:rsidRPr="0087610D" w:rsidRDefault="00C247E8" w:rsidP="00E424CD">
            <w:pPr>
              <w:jc w:val="center"/>
            </w:pPr>
            <w:r w:rsidRPr="0087610D">
              <w:t>Критерий оценки</w:t>
            </w:r>
          </w:p>
        </w:tc>
        <w:tc>
          <w:tcPr>
            <w:tcW w:w="1030" w:type="pct"/>
            <w:hideMark/>
          </w:tcPr>
          <w:p w:rsidR="00C247E8" w:rsidRPr="0087610D" w:rsidRDefault="00C247E8" w:rsidP="00E424CD">
            <w:pPr>
              <w:jc w:val="center"/>
            </w:pPr>
            <w:r w:rsidRPr="0087610D">
              <w:t>Значимость критерия оценки, процентов</w:t>
            </w:r>
          </w:p>
        </w:tc>
        <w:tc>
          <w:tcPr>
            <w:tcW w:w="733" w:type="pct"/>
            <w:hideMark/>
          </w:tcPr>
          <w:p w:rsidR="00C247E8" w:rsidRPr="0087610D" w:rsidRDefault="00C247E8" w:rsidP="00E424CD">
            <w:pPr>
              <w:jc w:val="center"/>
            </w:pPr>
            <w:r w:rsidRPr="0087610D">
              <w:t>Показатель оценки</w:t>
            </w:r>
          </w:p>
        </w:tc>
        <w:tc>
          <w:tcPr>
            <w:tcW w:w="641" w:type="pct"/>
            <w:hideMark/>
          </w:tcPr>
          <w:p w:rsidR="00C247E8" w:rsidRPr="0087610D" w:rsidRDefault="00C247E8" w:rsidP="00E424CD">
            <w:pPr>
              <w:jc w:val="center"/>
            </w:pPr>
            <w:r w:rsidRPr="0087610D">
              <w:t>Значимость показателя оценки, процентов</w:t>
            </w:r>
          </w:p>
        </w:tc>
        <w:tc>
          <w:tcPr>
            <w:tcW w:w="851" w:type="pct"/>
            <w:hideMark/>
          </w:tcPr>
          <w:p w:rsidR="00C247E8" w:rsidRPr="0087610D" w:rsidRDefault="00C247E8" w:rsidP="00E424CD">
            <w:pPr>
              <w:jc w:val="center"/>
            </w:pPr>
            <w:r w:rsidRPr="0087610D">
              <w:t>Показатель оценки, детализирующий показатель оценки</w:t>
            </w:r>
          </w:p>
        </w:tc>
        <w:tc>
          <w:tcPr>
            <w:tcW w:w="883" w:type="pct"/>
            <w:hideMark/>
          </w:tcPr>
          <w:p w:rsidR="00C247E8" w:rsidRPr="0087610D" w:rsidRDefault="00C247E8" w:rsidP="00E424CD">
            <w:pPr>
              <w:jc w:val="center"/>
            </w:pPr>
            <w:r w:rsidRPr="0087610D">
              <w:t>Значимость показателя, детализирующего показатель оценки, процентов</w:t>
            </w:r>
          </w:p>
        </w:tc>
      </w:tr>
      <w:tr w:rsidR="00C247E8" w:rsidRPr="0087610D" w:rsidTr="00E424CD">
        <w:tc>
          <w:tcPr>
            <w:tcW w:w="129" w:type="pct"/>
            <w:hideMark/>
          </w:tcPr>
          <w:p w:rsidR="00C247E8" w:rsidRPr="0087610D" w:rsidRDefault="00C247E8" w:rsidP="00E424CD">
            <w:pPr>
              <w:jc w:val="center"/>
            </w:pPr>
            <w:r w:rsidRPr="0087610D">
              <w:t>1.</w:t>
            </w:r>
          </w:p>
        </w:tc>
        <w:tc>
          <w:tcPr>
            <w:tcW w:w="733" w:type="pct"/>
            <w:hideMark/>
          </w:tcPr>
          <w:p w:rsidR="00C247E8" w:rsidRPr="0087610D" w:rsidRDefault="00C247E8" w:rsidP="00E424CD">
            <w:r w:rsidRPr="0087610D">
              <w:t>Цена контракта, сумма цен единиц товара, работы, услуги</w:t>
            </w:r>
          </w:p>
        </w:tc>
        <w:tc>
          <w:tcPr>
            <w:tcW w:w="1030" w:type="pct"/>
            <w:hideMark/>
          </w:tcPr>
          <w:p w:rsidR="00C247E8" w:rsidRPr="0087610D" w:rsidRDefault="00C247E8" w:rsidP="00E424CD">
            <w:pPr>
              <w:jc w:val="center"/>
            </w:pPr>
            <w:r w:rsidRPr="0087610D">
              <w:t>60</w:t>
            </w:r>
          </w:p>
        </w:tc>
        <w:tc>
          <w:tcPr>
            <w:tcW w:w="733" w:type="pct"/>
            <w:hideMark/>
          </w:tcPr>
          <w:p w:rsidR="00C247E8" w:rsidRPr="0087610D" w:rsidRDefault="00C247E8" w:rsidP="00E424CD">
            <w:pPr>
              <w:jc w:val="center"/>
            </w:pPr>
            <w:r w:rsidRPr="0087610D">
              <w:t>-</w:t>
            </w:r>
          </w:p>
        </w:tc>
        <w:tc>
          <w:tcPr>
            <w:tcW w:w="641" w:type="pct"/>
            <w:hideMark/>
          </w:tcPr>
          <w:p w:rsidR="00C247E8" w:rsidRPr="0087610D" w:rsidRDefault="00C247E8" w:rsidP="00E424CD">
            <w:pPr>
              <w:jc w:val="center"/>
            </w:pPr>
            <w:r w:rsidRPr="0087610D">
              <w:t>-</w:t>
            </w:r>
          </w:p>
        </w:tc>
        <w:tc>
          <w:tcPr>
            <w:tcW w:w="851" w:type="pct"/>
            <w:hideMark/>
          </w:tcPr>
          <w:p w:rsidR="00C247E8" w:rsidRPr="0087610D" w:rsidRDefault="00C247E8" w:rsidP="00E424CD">
            <w:pPr>
              <w:jc w:val="center"/>
            </w:pPr>
            <w:r w:rsidRPr="0087610D">
              <w:t>-</w:t>
            </w:r>
          </w:p>
        </w:tc>
        <w:tc>
          <w:tcPr>
            <w:tcW w:w="883" w:type="pct"/>
            <w:hideMark/>
          </w:tcPr>
          <w:p w:rsidR="00C247E8" w:rsidRPr="0087610D" w:rsidRDefault="00C247E8" w:rsidP="00E424CD">
            <w:pPr>
              <w:jc w:val="center"/>
            </w:pPr>
            <w:r w:rsidRPr="0087610D">
              <w:t>-</w:t>
            </w:r>
          </w:p>
        </w:tc>
      </w:tr>
      <w:tr w:rsidR="00C247E8" w:rsidRPr="0087610D" w:rsidTr="00E424CD">
        <w:tc>
          <w:tcPr>
            <w:tcW w:w="129" w:type="pct"/>
            <w:vMerge w:val="restart"/>
          </w:tcPr>
          <w:p w:rsidR="00C247E8" w:rsidRPr="0087610D" w:rsidRDefault="00C247E8" w:rsidP="00E424CD">
            <w:pPr>
              <w:jc w:val="center"/>
            </w:pPr>
            <w:r w:rsidRPr="0087610D">
              <w:t>2.</w:t>
            </w:r>
          </w:p>
        </w:tc>
        <w:tc>
          <w:tcPr>
            <w:tcW w:w="733" w:type="pct"/>
            <w:vMerge w:val="restart"/>
          </w:tcPr>
          <w:p w:rsidR="00C247E8" w:rsidRPr="0087610D" w:rsidRDefault="00C247E8" w:rsidP="00E424CD">
            <w:r w:rsidRPr="0087610D">
              <w:t xml:space="preserve">Квалификация участников закупки, в том числе наличие у них финансовых ресурсов, оборудования и </w:t>
            </w:r>
            <w:r w:rsidRPr="0087610D">
              <w:lastRenderedPageBreak/>
              <w:t>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030" w:type="pct"/>
            <w:vMerge w:val="restart"/>
          </w:tcPr>
          <w:p w:rsidR="00C247E8" w:rsidRPr="0087610D" w:rsidRDefault="00C247E8" w:rsidP="00E424CD">
            <w:pPr>
              <w:jc w:val="center"/>
            </w:pPr>
            <w:r w:rsidRPr="0087610D">
              <w:lastRenderedPageBreak/>
              <w:t>40</w:t>
            </w:r>
          </w:p>
        </w:tc>
        <w:tc>
          <w:tcPr>
            <w:tcW w:w="733" w:type="pct"/>
            <w:vMerge w:val="restart"/>
          </w:tcPr>
          <w:p w:rsidR="00C247E8" w:rsidRPr="0087610D" w:rsidRDefault="00C247E8" w:rsidP="00E424CD">
            <w:r w:rsidRPr="0087610D">
              <w:t>наличие у участников закупки финансовых ресурсов</w:t>
            </w:r>
          </w:p>
        </w:tc>
        <w:tc>
          <w:tcPr>
            <w:tcW w:w="641" w:type="pct"/>
            <w:vMerge w:val="restart"/>
          </w:tcPr>
          <w:p w:rsidR="00C247E8" w:rsidRPr="0087610D" w:rsidRDefault="00C247E8" w:rsidP="00E424CD">
            <w:pPr>
              <w:jc w:val="center"/>
            </w:pPr>
            <w:r w:rsidRPr="0087610D">
              <w:t>20</w:t>
            </w:r>
          </w:p>
        </w:tc>
        <w:tc>
          <w:tcPr>
            <w:tcW w:w="851" w:type="pct"/>
          </w:tcPr>
          <w:p w:rsidR="00C247E8" w:rsidRPr="0087610D" w:rsidRDefault="00C247E8" w:rsidP="00E424CD">
            <w:pPr>
              <w:jc w:val="center"/>
            </w:pPr>
            <w:r w:rsidRPr="0087610D">
              <w:t>признак N 1 (стоимость чистых активов)</w:t>
            </w:r>
          </w:p>
        </w:tc>
        <w:tc>
          <w:tcPr>
            <w:tcW w:w="883" w:type="pct"/>
          </w:tcPr>
          <w:p w:rsidR="00C247E8" w:rsidRPr="0087610D" w:rsidRDefault="00C247E8" w:rsidP="00E424CD">
            <w:pPr>
              <w:jc w:val="center"/>
            </w:pPr>
            <w:r w:rsidRPr="0087610D">
              <w:t>40</w:t>
            </w:r>
          </w:p>
        </w:tc>
      </w:tr>
      <w:tr w:rsidR="00C247E8" w:rsidRPr="0087610D" w:rsidTr="00E424CD">
        <w:tc>
          <w:tcPr>
            <w:tcW w:w="129" w:type="pct"/>
            <w:vMerge/>
          </w:tcPr>
          <w:p w:rsidR="00C247E8" w:rsidRPr="0087610D" w:rsidRDefault="00C247E8" w:rsidP="00E424CD">
            <w:pPr>
              <w:jc w:val="center"/>
            </w:pPr>
          </w:p>
        </w:tc>
        <w:tc>
          <w:tcPr>
            <w:tcW w:w="733" w:type="pct"/>
            <w:vMerge/>
          </w:tcPr>
          <w:p w:rsidR="00C247E8" w:rsidRPr="0087610D" w:rsidRDefault="00C247E8" w:rsidP="00E424CD"/>
        </w:tc>
        <w:tc>
          <w:tcPr>
            <w:tcW w:w="1030" w:type="pct"/>
            <w:vMerge/>
          </w:tcPr>
          <w:p w:rsidR="00C247E8" w:rsidRPr="0087610D" w:rsidRDefault="00C247E8" w:rsidP="00E424CD">
            <w:pPr>
              <w:jc w:val="center"/>
            </w:pPr>
          </w:p>
        </w:tc>
        <w:tc>
          <w:tcPr>
            <w:tcW w:w="733" w:type="pct"/>
            <w:vMerge/>
          </w:tcPr>
          <w:p w:rsidR="00C247E8" w:rsidRPr="0087610D" w:rsidRDefault="00C247E8" w:rsidP="00E424CD"/>
        </w:tc>
        <w:tc>
          <w:tcPr>
            <w:tcW w:w="641" w:type="pct"/>
            <w:vMerge/>
          </w:tcPr>
          <w:p w:rsidR="00C247E8" w:rsidRPr="0087610D" w:rsidRDefault="00C247E8" w:rsidP="00E424CD">
            <w:pPr>
              <w:jc w:val="center"/>
            </w:pPr>
          </w:p>
        </w:tc>
        <w:tc>
          <w:tcPr>
            <w:tcW w:w="851" w:type="pct"/>
          </w:tcPr>
          <w:p w:rsidR="00C247E8" w:rsidRPr="0087610D" w:rsidRDefault="00C247E8" w:rsidP="00E424CD">
            <w:pPr>
              <w:jc w:val="center"/>
            </w:pPr>
            <w:r w:rsidRPr="0087610D">
              <w:t xml:space="preserve">признак N 2 (коэффициент обеспеченности собственными </w:t>
            </w:r>
            <w:r w:rsidRPr="0087610D">
              <w:lastRenderedPageBreak/>
              <w:t>оборотными средствами)</w:t>
            </w:r>
          </w:p>
        </w:tc>
        <w:tc>
          <w:tcPr>
            <w:tcW w:w="883" w:type="pct"/>
          </w:tcPr>
          <w:p w:rsidR="00C247E8" w:rsidRPr="0087610D" w:rsidRDefault="00C247E8" w:rsidP="00E424CD">
            <w:pPr>
              <w:jc w:val="center"/>
            </w:pPr>
            <w:r w:rsidRPr="0087610D">
              <w:lastRenderedPageBreak/>
              <w:t>20</w:t>
            </w:r>
          </w:p>
        </w:tc>
      </w:tr>
      <w:tr w:rsidR="00C247E8" w:rsidRPr="0087610D" w:rsidTr="00E424CD">
        <w:tc>
          <w:tcPr>
            <w:tcW w:w="129" w:type="pct"/>
            <w:vMerge/>
          </w:tcPr>
          <w:p w:rsidR="00C247E8" w:rsidRPr="0087610D" w:rsidRDefault="00C247E8" w:rsidP="00E424CD">
            <w:pPr>
              <w:jc w:val="center"/>
            </w:pPr>
          </w:p>
        </w:tc>
        <w:tc>
          <w:tcPr>
            <w:tcW w:w="733" w:type="pct"/>
            <w:vMerge/>
          </w:tcPr>
          <w:p w:rsidR="00C247E8" w:rsidRPr="0087610D" w:rsidRDefault="00C247E8" w:rsidP="00E424CD"/>
        </w:tc>
        <w:tc>
          <w:tcPr>
            <w:tcW w:w="1030" w:type="pct"/>
            <w:vMerge/>
          </w:tcPr>
          <w:p w:rsidR="00C247E8" w:rsidRPr="0087610D" w:rsidRDefault="00C247E8" w:rsidP="00E424CD">
            <w:pPr>
              <w:jc w:val="center"/>
            </w:pPr>
          </w:p>
        </w:tc>
        <w:tc>
          <w:tcPr>
            <w:tcW w:w="733" w:type="pct"/>
            <w:vMerge/>
          </w:tcPr>
          <w:p w:rsidR="00C247E8" w:rsidRPr="0087610D" w:rsidRDefault="00C247E8" w:rsidP="00E424CD"/>
        </w:tc>
        <w:tc>
          <w:tcPr>
            <w:tcW w:w="641" w:type="pct"/>
            <w:vMerge/>
          </w:tcPr>
          <w:p w:rsidR="00C247E8" w:rsidRPr="0087610D" w:rsidRDefault="00C247E8" w:rsidP="00E424CD">
            <w:pPr>
              <w:jc w:val="center"/>
            </w:pPr>
          </w:p>
        </w:tc>
        <w:tc>
          <w:tcPr>
            <w:tcW w:w="851" w:type="pct"/>
          </w:tcPr>
          <w:p w:rsidR="00C247E8" w:rsidRPr="0087610D" w:rsidRDefault="00C247E8" w:rsidP="00E424CD">
            <w:pPr>
              <w:jc w:val="center"/>
            </w:pPr>
            <w:r w:rsidRPr="0087610D">
              <w:t>признак N 3 (коэффициент соизмеримости годовой выручки от основной деятельности с суммой договора (КСВ))</w:t>
            </w:r>
          </w:p>
        </w:tc>
        <w:tc>
          <w:tcPr>
            <w:tcW w:w="883" w:type="pct"/>
          </w:tcPr>
          <w:p w:rsidR="00C247E8" w:rsidRPr="0087610D" w:rsidRDefault="00C247E8" w:rsidP="00E424CD">
            <w:pPr>
              <w:jc w:val="center"/>
            </w:pPr>
            <w:r w:rsidRPr="0087610D">
              <w:t>40</w:t>
            </w:r>
          </w:p>
        </w:tc>
      </w:tr>
      <w:tr w:rsidR="00C247E8" w:rsidRPr="0087610D" w:rsidTr="00E424CD">
        <w:trPr>
          <w:trHeight w:val="1643"/>
        </w:trPr>
        <w:tc>
          <w:tcPr>
            <w:tcW w:w="129" w:type="pct"/>
            <w:vMerge/>
            <w:hideMark/>
          </w:tcPr>
          <w:p w:rsidR="00C247E8" w:rsidRPr="0087610D" w:rsidRDefault="00C247E8" w:rsidP="00E424CD">
            <w:pPr>
              <w:jc w:val="center"/>
            </w:pPr>
          </w:p>
        </w:tc>
        <w:tc>
          <w:tcPr>
            <w:tcW w:w="733" w:type="pct"/>
            <w:vMerge/>
            <w:hideMark/>
          </w:tcPr>
          <w:p w:rsidR="00C247E8" w:rsidRPr="0087610D" w:rsidRDefault="00C247E8" w:rsidP="00E424CD"/>
        </w:tc>
        <w:tc>
          <w:tcPr>
            <w:tcW w:w="1030" w:type="pct"/>
            <w:vMerge/>
            <w:hideMark/>
          </w:tcPr>
          <w:p w:rsidR="00C247E8" w:rsidRPr="0087610D" w:rsidRDefault="00C247E8" w:rsidP="00E424CD">
            <w:pPr>
              <w:jc w:val="center"/>
            </w:pPr>
          </w:p>
        </w:tc>
        <w:tc>
          <w:tcPr>
            <w:tcW w:w="733" w:type="pct"/>
          </w:tcPr>
          <w:p w:rsidR="00C247E8" w:rsidRPr="0087610D" w:rsidRDefault="00C247E8" w:rsidP="00E424CD">
            <w:r w:rsidRPr="0087610D">
              <w:t>наличие у участников закупки опыта поставки товара, выполнения работы, оказания услуги, связанного с предметом контракта</w:t>
            </w:r>
          </w:p>
        </w:tc>
        <w:tc>
          <w:tcPr>
            <w:tcW w:w="641" w:type="pct"/>
          </w:tcPr>
          <w:p w:rsidR="00C247E8" w:rsidRPr="0087610D" w:rsidRDefault="00C247E8" w:rsidP="00E424CD">
            <w:pPr>
              <w:jc w:val="center"/>
            </w:pPr>
            <w:r w:rsidRPr="0087610D">
              <w:t>30</w:t>
            </w:r>
          </w:p>
        </w:tc>
        <w:tc>
          <w:tcPr>
            <w:tcW w:w="851" w:type="pct"/>
          </w:tcPr>
          <w:p w:rsidR="00C247E8" w:rsidRPr="0087610D" w:rsidRDefault="00C247E8" w:rsidP="00E424CD">
            <w:pPr>
              <w:jc w:val="center"/>
            </w:pPr>
            <w:r w:rsidRPr="0087610D">
              <w:t>признак N 1 (общая цена исполненных участником закупки договоров)</w:t>
            </w:r>
          </w:p>
        </w:tc>
        <w:tc>
          <w:tcPr>
            <w:tcW w:w="883" w:type="pct"/>
          </w:tcPr>
          <w:p w:rsidR="00C247E8" w:rsidRPr="0087610D" w:rsidRDefault="00C247E8" w:rsidP="00E424CD">
            <w:pPr>
              <w:jc w:val="center"/>
            </w:pPr>
            <w:r w:rsidRPr="0087610D">
              <w:t>100</w:t>
            </w:r>
          </w:p>
        </w:tc>
      </w:tr>
      <w:tr w:rsidR="00C247E8" w:rsidRPr="0087610D" w:rsidTr="00E424CD">
        <w:trPr>
          <w:trHeight w:val="2484"/>
        </w:trPr>
        <w:tc>
          <w:tcPr>
            <w:tcW w:w="129" w:type="pct"/>
            <w:vMerge/>
            <w:hideMark/>
          </w:tcPr>
          <w:p w:rsidR="00C247E8" w:rsidRPr="0087610D" w:rsidRDefault="00C247E8" w:rsidP="00E424CD"/>
        </w:tc>
        <w:tc>
          <w:tcPr>
            <w:tcW w:w="733" w:type="pct"/>
            <w:vMerge/>
            <w:hideMark/>
          </w:tcPr>
          <w:p w:rsidR="00C247E8" w:rsidRPr="0087610D" w:rsidRDefault="00C247E8" w:rsidP="00E424CD"/>
        </w:tc>
        <w:tc>
          <w:tcPr>
            <w:tcW w:w="1030" w:type="pct"/>
            <w:vMerge/>
            <w:hideMark/>
          </w:tcPr>
          <w:p w:rsidR="00C247E8" w:rsidRPr="0087610D" w:rsidRDefault="00C247E8" w:rsidP="00E424CD"/>
        </w:tc>
        <w:tc>
          <w:tcPr>
            <w:tcW w:w="733" w:type="pct"/>
            <w:hideMark/>
          </w:tcPr>
          <w:p w:rsidR="00C247E8" w:rsidRPr="0087610D" w:rsidRDefault="00C247E8" w:rsidP="00E424CD">
            <w:r w:rsidRPr="0087610D">
              <w:t>наличие у участников закупки специалистов и иных работников определенного уровня квалификации</w:t>
            </w:r>
          </w:p>
        </w:tc>
        <w:tc>
          <w:tcPr>
            <w:tcW w:w="641" w:type="pct"/>
            <w:hideMark/>
          </w:tcPr>
          <w:p w:rsidR="00C247E8" w:rsidRPr="0087610D" w:rsidRDefault="00C247E8" w:rsidP="00E424CD">
            <w:pPr>
              <w:jc w:val="center"/>
            </w:pPr>
            <w:r w:rsidRPr="0087610D">
              <w:t>50</w:t>
            </w:r>
          </w:p>
        </w:tc>
        <w:tc>
          <w:tcPr>
            <w:tcW w:w="851" w:type="pct"/>
            <w:hideMark/>
          </w:tcPr>
          <w:p w:rsidR="00C247E8" w:rsidRPr="0087610D" w:rsidRDefault="00C247E8" w:rsidP="00E424CD">
            <w:pPr>
              <w:jc w:val="center"/>
            </w:pPr>
            <w:r w:rsidRPr="0087610D">
              <w:t>признак N 1 (наличие специалистов и иных работников, их квалификация, необходимые для выполнения работ, являющихся объектом закупки)</w:t>
            </w:r>
          </w:p>
        </w:tc>
        <w:tc>
          <w:tcPr>
            <w:tcW w:w="883" w:type="pct"/>
            <w:hideMark/>
          </w:tcPr>
          <w:p w:rsidR="00C247E8" w:rsidRPr="0087610D" w:rsidRDefault="00C247E8" w:rsidP="00E424CD">
            <w:pPr>
              <w:jc w:val="center"/>
            </w:pPr>
            <w:r w:rsidRPr="0087610D">
              <w:t>100</w:t>
            </w:r>
          </w:p>
        </w:tc>
      </w:tr>
    </w:tbl>
    <w:p w:rsidR="00C247E8" w:rsidRDefault="00C247E8" w:rsidP="00C247E8">
      <w:pPr>
        <w:tabs>
          <w:tab w:val="left" w:pos="6735"/>
        </w:tabs>
        <w:ind w:firstLine="567"/>
        <w:jc w:val="center"/>
        <w:rPr>
          <w:b/>
        </w:rPr>
      </w:pPr>
    </w:p>
    <w:p w:rsidR="00C247E8" w:rsidRDefault="00C247E8" w:rsidP="00C247E8">
      <w:pPr>
        <w:tabs>
          <w:tab w:val="left" w:pos="6735"/>
        </w:tabs>
        <w:ind w:firstLine="567"/>
        <w:jc w:val="center"/>
        <w:rPr>
          <w:b/>
        </w:rPr>
      </w:pPr>
    </w:p>
    <w:p w:rsidR="00C247E8" w:rsidRDefault="00C247E8" w:rsidP="00C247E8">
      <w:pPr>
        <w:tabs>
          <w:tab w:val="left" w:pos="6735"/>
        </w:tabs>
        <w:ind w:firstLine="567"/>
        <w:jc w:val="center"/>
        <w:rPr>
          <w:b/>
        </w:rPr>
      </w:pPr>
    </w:p>
    <w:p w:rsidR="00C247E8" w:rsidRDefault="00C247E8" w:rsidP="00C247E8">
      <w:pPr>
        <w:tabs>
          <w:tab w:val="left" w:pos="6735"/>
        </w:tabs>
        <w:ind w:firstLine="567"/>
        <w:jc w:val="center"/>
        <w:rPr>
          <w:b/>
        </w:rPr>
      </w:pPr>
    </w:p>
    <w:p w:rsidR="00C247E8" w:rsidRDefault="00C247E8" w:rsidP="00C247E8">
      <w:pPr>
        <w:tabs>
          <w:tab w:val="left" w:pos="6735"/>
        </w:tabs>
        <w:ind w:firstLine="567"/>
        <w:jc w:val="center"/>
        <w:rPr>
          <w:b/>
        </w:rPr>
      </w:pPr>
    </w:p>
    <w:p w:rsidR="00C247E8" w:rsidRDefault="00C247E8" w:rsidP="00C247E8">
      <w:pPr>
        <w:tabs>
          <w:tab w:val="left" w:pos="6735"/>
        </w:tabs>
        <w:ind w:firstLine="567"/>
        <w:jc w:val="center"/>
        <w:rPr>
          <w:b/>
        </w:rPr>
      </w:pPr>
    </w:p>
    <w:p w:rsidR="00C247E8" w:rsidRDefault="00C247E8" w:rsidP="00C247E8">
      <w:pPr>
        <w:tabs>
          <w:tab w:val="left" w:pos="6735"/>
        </w:tabs>
        <w:ind w:firstLine="567"/>
        <w:jc w:val="center"/>
        <w:rPr>
          <w:b/>
        </w:rPr>
      </w:pPr>
    </w:p>
    <w:p w:rsidR="00C247E8" w:rsidRDefault="00C247E8" w:rsidP="00C247E8">
      <w:pPr>
        <w:tabs>
          <w:tab w:val="left" w:pos="6735"/>
        </w:tabs>
        <w:ind w:firstLine="567"/>
        <w:jc w:val="center"/>
        <w:rPr>
          <w:b/>
        </w:rPr>
      </w:pPr>
    </w:p>
    <w:p w:rsidR="00C247E8" w:rsidRPr="0087610D" w:rsidRDefault="00C247E8" w:rsidP="00C247E8">
      <w:pPr>
        <w:tabs>
          <w:tab w:val="left" w:pos="6735"/>
        </w:tabs>
        <w:ind w:firstLine="567"/>
        <w:jc w:val="center"/>
        <w:rPr>
          <w:b/>
        </w:rPr>
      </w:pPr>
      <w:bookmarkStart w:id="0" w:name="_GoBack"/>
      <w:bookmarkEnd w:id="0"/>
      <w:r w:rsidRPr="0087610D">
        <w:rPr>
          <w:b/>
        </w:rPr>
        <w:lastRenderedPageBreak/>
        <w:t>ПОРЯДОК ОЦЕНКИ ЗАЯВОК НА УЧАСТИЕ В ОТКРЫТОМ КОНКУРСЕ В ЭЛЕКТРОННОЙ ФОРМЕ</w:t>
      </w:r>
    </w:p>
    <w:p w:rsidR="00C247E8" w:rsidRPr="0087610D" w:rsidRDefault="00C247E8" w:rsidP="00C247E8">
      <w:pPr>
        <w:keepNext/>
        <w:keepLines/>
        <w:widowControl w:val="0"/>
        <w:ind w:firstLine="567"/>
        <w:rPr>
          <w:b/>
        </w:rPr>
      </w:pPr>
    </w:p>
    <w:p w:rsidR="00C247E8" w:rsidRPr="0087610D" w:rsidRDefault="00C247E8" w:rsidP="00C247E8">
      <w:pPr>
        <w:keepNext/>
        <w:keepLines/>
        <w:widowControl w:val="0"/>
        <w:ind w:firstLine="567"/>
        <w:rPr>
          <w:b/>
        </w:rPr>
      </w:pPr>
    </w:p>
    <w:p w:rsidR="00C247E8" w:rsidRPr="0087610D" w:rsidRDefault="00C247E8" w:rsidP="00C247E8">
      <w:pPr>
        <w:keepNext/>
        <w:keepLines/>
        <w:widowControl w:val="0"/>
        <w:ind w:firstLine="567"/>
        <w:rPr>
          <w:b/>
          <w:color w:val="000000" w:themeColor="text1"/>
        </w:rPr>
      </w:pPr>
      <w:r w:rsidRPr="0087610D">
        <w:rPr>
          <w:b/>
          <w:color w:val="000000" w:themeColor="text1"/>
        </w:rPr>
        <w:t>1. Оценка заявок по критерию «Цена контракта, сумма цен единиц товара, работы, услуги».</w:t>
      </w:r>
    </w:p>
    <w:p w:rsidR="00C247E8" w:rsidRPr="0087610D" w:rsidRDefault="00C247E8" w:rsidP="00C247E8">
      <w:pPr>
        <w:keepNext/>
        <w:keepLines/>
        <w:widowControl w:val="0"/>
        <w:ind w:firstLine="567"/>
        <w:rPr>
          <w:color w:val="000000" w:themeColor="text1"/>
        </w:rPr>
      </w:pPr>
      <w:r w:rsidRPr="0087610D">
        <w:rPr>
          <w:color w:val="000000" w:themeColor="text1"/>
        </w:rPr>
        <w:t>Значимость критерия оценки – 60 %</w:t>
      </w:r>
    </w:p>
    <w:p w:rsidR="00C247E8" w:rsidRPr="0087610D" w:rsidRDefault="00C247E8" w:rsidP="00C247E8">
      <w:pPr>
        <w:keepNext/>
        <w:keepLines/>
        <w:widowControl w:val="0"/>
        <w:ind w:firstLine="567"/>
        <w:rPr>
          <w:color w:val="000000" w:themeColor="text1"/>
        </w:rPr>
      </w:pPr>
      <w:r w:rsidRPr="0087610D">
        <w:rPr>
          <w:color w:val="000000" w:themeColor="text1"/>
        </w:rPr>
        <w:t>Оценка критерия (баллы): – 100</w:t>
      </w:r>
    </w:p>
    <w:p w:rsidR="00C247E8" w:rsidRPr="0087610D" w:rsidRDefault="00C247E8" w:rsidP="00C247E8">
      <w:pPr>
        <w:keepNext/>
        <w:keepLines/>
        <w:widowControl w:val="0"/>
        <w:ind w:firstLine="567"/>
        <w:rPr>
          <w:color w:val="000000" w:themeColor="text1"/>
        </w:rPr>
      </w:pPr>
      <w:r w:rsidRPr="0087610D">
        <w:rPr>
          <w:color w:val="000000" w:themeColor="text1"/>
        </w:rPr>
        <w:t>Количество баллов, присуждаемых по критерию оценки «цена контракта, сумма цен единиц товара, работы, услуги», определяется по формуле:</w:t>
      </w:r>
    </w:p>
    <w:p w:rsidR="00C247E8" w:rsidRPr="0087610D" w:rsidRDefault="00C247E8" w:rsidP="00C247E8">
      <w:pPr>
        <w:autoSpaceDE w:val="0"/>
        <w:autoSpaceDN w:val="0"/>
        <w:adjustRightInd w:val="0"/>
        <w:ind w:firstLine="567"/>
        <w:jc w:val="both"/>
        <w:rPr>
          <w:bCs/>
          <w:color w:val="000000" w:themeColor="text1"/>
        </w:rPr>
      </w:pP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Законом о контрактной системе оценке по указанному критерию оценки, (БЦ</w:t>
      </w:r>
      <w:r w:rsidRPr="0087610D">
        <w:rPr>
          <w:bCs/>
          <w:color w:val="000000" w:themeColor="text1"/>
          <w:vertAlign w:val="subscript"/>
        </w:rPr>
        <w:t>i</w:t>
      </w:r>
      <w:r w:rsidRPr="0087610D">
        <w:rPr>
          <w:bCs/>
          <w:color w:val="000000" w:themeColor="text1"/>
        </w:rPr>
        <w:t>) определяется по формуле:</w:t>
      </w:r>
    </w:p>
    <w:p w:rsidR="00C247E8" w:rsidRPr="0087610D" w:rsidRDefault="00C247E8" w:rsidP="00C247E8">
      <w:pPr>
        <w:autoSpaceDE w:val="0"/>
        <w:autoSpaceDN w:val="0"/>
        <w:adjustRightInd w:val="0"/>
        <w:ind w:firstLine="567"/>
        <w:jc w:val="both"/>
        <w:outlineLvl w:val="0"/>
        <w:rPr>
          <w:bCs/>
          <w:color w:val="000000" w:themeColor="text1"/>
        </w:rPr>
      </w:pPr>
    </w:p>
    <w:p w:rsidR="00C247E8" w:rsidRPr="0087610D" w:rsidRDefault="00C247E8" w:rsidP="00C247E8">
      <w:pPr>
        <w:autoSpaceDE w:val="0"/>
        <w:autoSpaceDN w:val="0"/>
        <w:adjustRightInd w:val="0"/>
        <w:ind w:firstLine="567"/>
        <w:jc w:val="center"/>
        <w:rPr>
          <w:bCs/>
          <w:color w:val="000000" w:themeColor="text1"/>
        </w:rPr>
      </w:pPr>
      <w:r w:rsidRPr="0087610D">
        <w:rPr>
          <w:bCs/>
          <w:noProof/>
          <w:color w:val="000000" w:themeColor="text1"/>
          <w:position w:val="-33"/>
          <w:lang w:eastAsia="ru-RU"/>
        </w:rPr>
        <w:drawing>
          <wp:inline distT="0" distB="0" distL="0" distR="0" wp14:anchorId="084749D5" wp14:editId="31E81EC3">
            <wp:extent cx="2009775" cy="581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581025"/>
                    </a:xfrm>
                    <a:prstGeom prst="rect">
                      <a:avLst/>
                    </a:prstGeom>
                    <a:noFill/>
                    <a:ln>
                      <a:noFill/>
                    </a:ln>
                  </pic:spPr>
                </pic:pic>
              </a:graphicData>
            </a:graphic>
          </wp:inline>
        </w:drawing>
      </w:r>
    </w:p>
    <w:p w:rsidR="00C247E8" w:rsidRPr="0087610D" w:rsidRDefault="00C247E8" w:rsidP="00C247E8">
      <w:pPr>
        <w:autoSpaceDE w:val="0"/>
        <w:autoSpaceDN w:val="0"/>
        <w:adjustRightInd w:val="0"/>
        <w:ind w:firstLine="567"/>
        <w:jc w:val="both"/>
        <w:rPr>
          <w:bCs/>
          <w:color w:val="000000" w:themeColor="text1"/>
        </w:rPr>
      </w:pP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где:</w:t>
      </w: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Ц</w:t>
      </w:r>
      <w:r w:rsidRPr="0087610D">
        <w:rPr>
          <w:bCs/>
          <w:color w:val="000000" w:themeColor="text1"/>
          <w:vertAlign w:val="subscript"/>
        </w:rPr>
        <w:t>i</w:t>
      </w:r>
      <w:r w:rsidRPr="0087610D">
        <w:rPr>
          <w:bCs/>
          <w:color w:val="000000" w:themeColor="text1"/>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8" w:history="1">
        <w:r w:rsidRPr="0087610D">
          <w:rPr>
            <w:bCs/>
            <w:color w:val="000000" w:themeColor="text1"/>
          </w:rPr>
          <w:t>частью 24 статьи 22</w:t>
        </w:r>
      </w:hyperlink>
      <w:r w:rsidRPr="0087610D">
        <w:rPr>
          <w:bCs/>
          <w:color w:val="000000" w:themeColor="text1"/>
        </w:rPr>
        <w:t xml:space="preserve"> Закона о контрактной системе, в том числе при проведении в этом случае совместного конкурса), заявка (часть заявки) которого подлежит в соответствии с Законом о контрактной системе оценке по критерию оценки «цена контракта, сумма цен единиц товара, работы, услуги» (далее - ценовое предложение);</w:t>
      </w: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Ц</w:t>
      </w:r>
      <w:r w:rsidRPr="0087610D">
        <w:rPr>
          <w:bCs/>
          <w:color w:val="000000" w:themeColor="text1"/>
          <w:vertAlign w:val="subscript"/>
        </w:rPr>
        <w:t>л</w:t>
      </w:r>
      <w:r w:rsidRPr="0087610D">
        <w:rPr>
          <w:bCs/>
          <w:color w:val="000000" w:themeColor="text1"/>
        </w:rPr>
        <w:t xml:space="preserve"> - наилучшее ценовое предложение из числа предложенных в соответствии с Законом о контрактной системе участниками закупки, заявки (части заявки) которых подлежат оценке по критерию оценки «цена контракта, сумма цен единиц товара, работы, услуги».</w:t>
      </w:r>
    </w:p>
    <w:p w:rsidR="00C247E8" w:rsidRPr="0087610D" w:rsidRDefault="00C247E8" w:rsidP="00C247E8">
      <w:pPr>
        <w:autoSpaceDE w:val="0"/>
        <w:autoSpaceDN w:val="0"/>
        <w:adjustRightInd w:val="0"/>
        <w:ind w:firstLine="567"/>
        <w:jc w:val="both"/>
        <w:rPr>
          <w:bCs/>
          <w:color w:val="000000" w:themeColor="text1"/>
        </w:rPr>
      </w:pP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9" w:history="1">
        <w:r w:rsidRPr="0087610D">
          <w:rPr>
            <w:bCs/>
            <w:color w:val="000000" w:themeColor="text1"/>
          </w:rPr>
          <w:t>частью 24 статьи 22</w:t>
        </w:r>
      </w:hyperlink>
      <w:r w:rsidRPr="0087610D">
        <w:rPr>
          <w:bCs/>
          <w:color w:val="000000" w:themeColor="text1"/>
        </w:rPr>
        <w:t xml:space="preserve"> Закона о контрактной системе) в соответствии с Законом о контрактной системе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sidRPr="0087610D">
        <w:rPr>
          <w:bCs/>
          <w:color w:val="000000" w:themeColor="text1"/>
          <w:vertAlign w:val="subscript"/>
        </w:rPr>
        <w:t>i</w:t>
      </w:r>
      <w:r w:rsidRPr="0087610D">
        <w:rPr>
          <w:bCs/>
          <w:color w:val="000000" w:themeColor="text1"/>
        </w:rPr>
        <w:t>) определяется в следующем порядке:</w:t>
      </w:r>
    </w:p>
    <w:p w:rsidR="00C247E8" w:rsidRPr="0087610D" w:rsidRDefault="00C247E8" w:rsidP="00C247E8">
      <w:pPr>
        <w:autoSpaceDE w:val="0"/>
        <w:autoSpaceDN w:val="0"/>
        <w:adjustRightInd w:val="0"/>
        <w:ind w:firstLine="567"/>
        <w:jc w:val="both"/>
        <w:rPr>
          <w:bCs/>
          <w:color w:val="000000" w:themeColor="text1"/>
        </w:rPr>
      </w:pPr>
      <w:bookmarkStart w:id="1" w:name="Par8"/>
      <w:bookmarkEnd w:id="1"/>
      <w:r w:rsidRPr="0087610D">
        <w:rPr>
          <w:bCs/>
          <w:color w:val="000000" w:themeColor="text1"/>
        </w:rPr>
        <w:t xml:space="preserve">а) для подлежащей в соответствии с Федеральным </w:t>
      </w:r>
      <w:hyperlink r:id="rId10" w:history="1">
        <w:r w:rsidRPr="0087610D">
          <w:rPr>
            <w:bCs/>
            <w:color w:val="000000" w:themeColor="text1"/>
          </w:rPr>
          <w:t>законом</w:t>
        </w:r>
      </w:hyperlink>
      <w:r w:rsidRPr="0087610D">
        <w:rPr>
          <w:bCs/>
          <w:color w:val="000000" w:themeColor="text1"/>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87610D">
        <w:rPr>
          <w:bCs/>
          <w:color w:val="000000" w:themeColor="text1"/>
          <w:vertAlign w:val="subscript"/>
        </w:rPr>
        <w:t>i</w:t>
      </w:r>
      <w:r w:rsidRPr="0087610D">
        <w:rPr>
          <w:bCs/>
          <w:color w:val="000000" w:themeColor="text1"/>
        </w:rPr>
        <w:t>) определяется по формуле:</w:t>
      </w:r>
    </w:p>
    <w:p w:rsidR="00C247E8" w:rsidRPr="0087610D" w:rsidRDefault="00C247E8" w:rsidP="00C247E8">
      <w:pPr>
        <w:autoSpaceDE w:val="0"/>
        <w:autoSpaceDN w:val="0"/>
        <w:adjustRightInd w:val="0"/>
        <w:ind w:firstLine="567"/>
        <w:jc w:val="both"/>
        <w:rPr>
          <w:bCs/>
          <w:color w:val="000000" w:themeColor="text1"/>
        </w:rPr>
      </w:pPr>
    </w:p>
    <w:p w:rsidR="00C247E8" w:rsidRPr="0087610D" w:rsidRDefault="00C247E8" w:rsidP="00C247E8">
      <w:pPr>
        <w:autoSpaceDE w:val="0"/>
        <w:autoSpaceDN w:val="0"/>
        <w:adjustRightInd w:val="0"/>
        <w:ind w:firstLine="567"/>
        <w:jc w:val="center"/>
        <w:rPr>
          <w:bCs/>
          <w:color w:val="000000" w:themeColor="text1"/>
        </w:rPr>
      </w:pPr>
      <w:r w:rsidRPr="0087610D">
        <w:rPr>
          <w:bCs/>
          <w:noProof/>
          <w:color w:val="000000" w:themeColor="text1"/>
          <w:position w:val="-33"/>
          <w:lang w:eastAsia="ru-RU"/>
        </w:rPr>
        <w:lastRenderedPageBreak/>
        <w:drawing>
          <wp:inline distT="0" distB="0" distL="0" distR="0" wp14:anchorId="30F0E307" wp14:editId="24424243">
            <wp:extent cx="2438400"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581025"/>
                    </a:xfrm>
                    <a:prstGeom prst="rect">
                      <a:avLst/>
                    </a:prstGeom>
                    <a:noFill/>
                    <a:ln>
                      <a:noFill/>
                    </a:ln>
                  </pic:spPr>
                </pic:pic>
              </a:graphicData>
            </a:graphic>
          </wp:inline>
        </w:drawing>
      </w:r>
    </w:p>
    <w:p w:rsidR="00C247E8" w:rsidRPr="0087610D" w:rsidRDefault="00C247E8" w:rsidP="00C247E8">
      <w:pPr>
        <w:autoSpaceDE w:val="0"/>
        <w:autoSpaceDN w:val="0"/>
        <w:adjustRightInd w:val="0"/>
        <w:ind w:firstLine="567"/>
        <w:jc w:val="both"/>
        <w:rPr>
          <w:bCs/>
          <w:color w:val="000000" w:themeColor="text1"/>
        </w:rPr>
      </w:pP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где Ц</w:t>
      </w:r>
      <w:r w:rsidRPr="0087610D">
        <w:rPr>
          <w:bCs/>
          <w:color w:val="000000" w:themeColor="text1"/>
          <w:vertAlign w:val="subscript"/>
        </w:rPr>
        <w:t>нач</w:t>
      </w:r>
      <w:r w:rsidRPr="0087610D">
        <w:rPr>
          <w:bCs/>
          <w:color w:val="000000" w:themeColor="text1"/>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12" w:history="1">
        <w:r w:rsidRPr="0087610D">
          <w:rPr>
            <w:bCs/>
            <w:color w:val="000000" w:themeColor="text1"/>
          </w:rPr>
          <w:t>частью 24 статьи 22</w:t>
        </w:r>
      </w:hyperlink>
      <w:r w:rsidRPr="0087610D">
        <w:rPr>
          <w:bCs/>
          <w:color w:val="000000" w:themeColor="text1"/>
        </w:rPr>
        <w:t xml:space="preserve"> Федерального закона, в том числе при проведении в таком случае совместного конкурса);</w:t>
      </w:r>
    </w:p>
    <w:p w:rsidR="00C247E8" w:rsidRPr="0087610D" w:rsidRDefault="00C247E8" w:rsidP="00C247E8">
      <w:pPr>
        <w:autoSpaceDE w:val="0"/>
        <w:autoSpaceDN w:val="0"/>
        <w:adjustRightInd w:val="0"/>
        <w:ind w:firstLine="567"/>
        <w:jc w:val="both"/>
        <w:rPr>
          <w:bCs/>
          <w:color w:val="000000" w:themeColor="text1"/>
        </w:rPr>
      </w:pPr>
      <w:bookmarkStart w:id="2" w:name="Par13"/>
      <w:bookmarkEnd w:id="2"/>
      <w:r w:rsidRPr="0087610D">
        <w:rPr>
          <w:bCs/>
          <w:color w:val="000000" w:themeColor="text1"/>
        </w:rPr>
        <w:t xml:space="preserve">б) для подлежащей в соответствии с Федеральным </w:t>
      </w:r>
      <w:hyperlink r:id="rId13" w:history="1">
        <w:r w:rsidRPr="0087610D">
          <w:rPr>
            <w:bCs/>
            <w:color w:val="000000" w:themeColor="text1"/>
          </w:rPr>
          <w:t>законом</w:t>
        </w:r>
      </w:hyperlink>
      <w:r w:rsidRPr="0087610D">
        <w:rPr>
          <w:bCs/>
          <w:color w:val="000000" w:themeColor="text1"/>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87610D">
        <w:rPr>
          <w:bCs/>
          <w:color w:val="000000" w:themeColor="text1"/>
          <w:vertAlign w:val="subscript"/>
        </w:rPr>
        <w:t>i</w:t>
      </w:r>
      <w:r w:rsidRPr="0087610D">
        <w:rPr>
          <w:bCs/>
          <w:color w:val="000000" w:themeColor="text1"/>
        </w:rPr>
        <w:t>) определяется по формуле:</w:t>
      </w:r>
    </w:p>
    <w:p w:rsidR="00C247E8" w:rsidRPr="0087610D" w:rsidRDefault="00C247E8" w:rsidP="00C247E8">
      <w:pPr>
        <w:autoSpaceDE w:val="0"/>
        <w:autoSpaceDN w:val="0"/>
        <w:adjustRightInd w:val="0"/>
        <w:ind w:firstLine="567"/>
        <w:jc w:val="both"/>
        <w:rPr>
          <w:bCs/>
          <w:color w:val="000000" w:themeColor="text1"/>
        </w:rPr>
      </w:pPr>
    </w:p>
    <w:p w:rsidR="00C247E8" w:rsidRPr="0087610D" w:rsidRDefault="00C247E8" w:rsidP="00C247E8">
      <w:pPr>
        <w:autoSpaceDE w:val="0"/>
        <w:autoSpaceDN w:val="0"/>
        <w:adjustRightInd w:val="0"/>
        <w:ind w:firstLine="567"/>
        <w:jc w:val="center"/>
        <w:rPr>
          <w:bCs/>
          <w:color w:val="000000" w:themeColor="text1"/>
        </w:rPr>
      </w:pPr>
      <w:r w:rsidRPr="0087610D">
        <w:rPr>
          <w:bCs/>
          <w:noProof/>
          <w:color w:val="000000" w:themeColor="text1"/>
          <w:position w:val="-33"/>
          <w:lang w:eastAsia="ru-RU"/>
        </w:rPr>
        <w:drawing>
          <wp:inline distT="0" distB="0" distL="0" distR="0" wp14:anchorId="1CF4B918" wp14:editId="736D7C65">
            <wp:extent cx="2228850"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p w:rsidR="00C247E8" w:rsidRPr="0087610D" w:rsidRDefault="00C247E8" w:rsidP="00C247E8">
      <w:pPr>
        <w:autoSpaceDE w:val="0"/>
        <w:autoSpaceDN w:val="0"/>
        <w:adjustRightInd w:val="0"/>
        <w:ind w:firstLine="567"/>
        <w:jc w:val="both"/>
        <w:rPr>
          <w:bCs/>
          <w:color w:val="000000" w:themeColor="text1"/>
        </w:rPr>
      </w:pP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б) значение Ц</w:t>
      </w:r>
      <w:r w:rsidRPr="0087610D">
        <w:rPr>
          <w:bCs/>
          <w:color w:val="000000" w:themeColor="text1"/>
          <w:vertAlign w:val="subscript"/>
        </w:rPr>
        <w:t>л</w:t>
      </w:r>
      <w:r w:rsidRPr="0087610D">
        <w:rPr>
          <w:bCs/>
          <w:color w:val="000000" w:themeColor="text1"/>
        </w:rPr>
        <w:t xml:space="preserve"> при применении формулы, предусмотренной </w:t>
      </w:r>
      <w:hyperlink w:anchor="Par8" w:history="1">
        <w:r w:rsidRPr="0087610D">
          <w:rPr>
            <w:bCs/>
            <w:color w:val="000000" w:themeColor="text1"/>
          </w:rPr>
          <w:t>подпунктом "а" пункта 10</w:t>
        </w:r>
      </w:hyperlink>
      <w:r w:rsidRPr="0087610D">
        <w:rPr>
          <w:bCs/>
          <w:color w:val="000000" w:themeColor="text1"/>
        </w:rPr>
        <w:t xml:space="preserve"> Положения, и значения Ц</w:t>
      </w:r>
      <w:r w:rsidRPr="0087610D">
        <w:rPr>
          <w:bCs/>
          <w:color w:val="000000" w:themeColor="text1"/>
          <w:vertAlign w:val="subscript"/>
        </w:rPr>
        <w:t>л</w:t>
      </w:r>
      <w:r w:rsidRPr="0087610D">
        <w:rPr>
          <w:bCs/>
          <w:color w:val="000000" w:themeColor="text1"/>
        </w:rPr>
        <w:t xml:space="preserve"> и Ц</w:t>
      </w:r>
      <w:r w:rsidRPr="0087610D">
        <w:rPr>
          <w:bCs/>
          <w:color w:val="000000" w:themeColor="text1"/>
          <w:vertAlign w:val="subscript"/>
        </w:rPr>
        <w:t>i</w:t>
      </w:r>
      <w:r w:rsidRPr="0087610D">
        <w:rPr>
          <w:bCs/>
          <w:color w:val="000000" w:themeColor="text1"/>
        </w:rPr>
        <w:t xml:space="preserve"> при применении формулы, предусмотренной </w:t>
      </w:r>
      <w:hyperlink w:anchor="Par13" w:history="1">
        <w:r w:rsidRPr="0087610D">
          <w:rPr>
            <w:bCs/>
            <w:color w:val="000000" w:themeColor="text1"/>
          </w:rPr>
          <w:t>подпунктом "б" пункта 10</w:t>
        </w:r>
      </w:hyperlink>
      <w:r w:rsidRPr="0087610D">
        <w:rPr>
          <w:bCs/>
          <w:color w:val="000000" w:themeColor="text1"/>
        </w:rPr>
        <w:t xml:space="preserve"> Положения, указываются без знака "минус";</w:t>
      </w:r>
    </w:p>
    <w:p w:rsidR="00C247E8" w:rsidRPr="0087610D" w:rsidRDefault="00C247E8" w:rsidP="00C247E8">
      <w:pPr>
        <w:autoSpaceDE w:val="0"/>
        <w:autoSpaceDN w:val="0"/>
        <w:adjustRightInd w:val="0"/>
        <w:ind w:firstLine="567"/>
        <w:jc w:val="both"/>
        <w:rPr>
          <w:bCs/>
          <w:color w:val="000000" w:themeColor="text1"/>
        </w:rPr>
      </w:pPr>
      <w:r w:rsidRPr="0087610D">
        <w:rPr>
          <w:bCs/>
          <w:color w:val="000000" w:themeColor="text1"/>
        </w:rPr>
        <w:t>в) применение показателей оценки по критерию оценки "цена контракта, сумма цен единиц товара, работы, услуги" не допускается.</w:t>
      </w:r>
    </w:p>
    <w:p w:rsidR="00C247E8" w:rsidRPr="0087610D" w:rsidRDefault="00C247E8" w:rsidP="00C247E8">
      <w:pPr>
        <w:ind w:firstLine="567"/>
        <w:rPr>
          <w:color w:val="000000" w:themeColor="text1"/>
        </w:rPr>
      </w:pPr>
    </w:p>
    <w:p w:rsidR="00C247E8" w:rsidRPr="0087610D" w:rsidRDefault="00C247E8" w:rsidP="00C247E8">
      <w:pPr>
        <w:keepNext/>
        <w:keepLines/>
        <w:widowControl w:val="0"/>
        <w:snapToGrid w:val="0"/>
        <w:ind w:firstLine="567"/>
        <w:contextualSpacing/>
        <w:jc w:val="both"/>
        <w:rPr>
          <w:color w:val="000000" w:themeColor="text1"/>
        </w:rPr>
      </w:pPr>
      <w:r w:rsidRPr="0087610D">
        <w:rPr>
          <w:color w:val="000000" w:themeColor="text1"/>
        </w:rPr>
        <w:t xml:space="preserve">2. Оценка заявок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C247E8" w:rsidRPr="0087610D" w:rsidRDefault="00C247E8" w:rsidP="00C247E8">
      <w:pPr>
        <w:keepNext/>
        <w:keepLines/>
        <w:widowControl w:val="0"/>
        <w:ind w:firstLine="567"/>
        <w:rPr>
          <w:color w:val="000000" w:themeColor="text1"/>
        </w:rPr>
      </w:pPr>
      <w:r w:rsidRPr="0087610D">
        <w:rPr>
          <w:color w:val="000000" w:themeColor="text1"/>
        </w:rPr>
        <w:t>Значимость критерия – 40 %</w:t>
      </w:r>
    </w:p>
    <w:p w:rsidR="00C247E8" w:rsidRPr="0087610D" w:rsidRDefault="00C247E8" w:rsidP="00C247E8">
      <w:pPr>
        <w:keepNext/>
        <w:keepLines/>
        <w:widowControl w:val="0"/>
        <w:snapToGrid w:val="0"/>
        <w:ind w:firstLine="567"/>
        <w:contextualSpacing/>
        <w:rPr>
          <w:color w:val="000000" w:themeColor="text1"/>
        </w:rPr>
      </w:pPr>
      <w:r w:rsidRPr="0087610D">
        <w:rPr>
          <w:color w:val="000000" w:themeColor="text1"/>
        </w:rPr>
        <w:t>В отношении данного критерия оценки предусматриваются показатели оценки, раскрывающие его содержание и учитывающие особенности оценки закупаемых работ.</w:t>
      </w:r>
    </w:p>
    <w:p w:rsidR="00C247E8" w:rsidRPr="0087610D" w:rsidRDefault="00C247E8" w:rsidP="00C247E8">
      <w:pPr>
        <w:keepNext/>
        <w:keepLines/>
        <w:widowControl w:val="0"/>
        <w:snapToGrid w:val="0"/>
        <w:ind w:firstLine="567"/>
        <w:contextualSpacing/>
      </w:pPr>
    </w:p>
    <w:p w:rsidR="00C247E8" w:rsidRPr="0087610D" w:rsidRDefault="00C247E8" w:rsidP="00C247E8">
      <w:pPr>
        <w:keepNext/>
        <w:keepLines/>
        <w:widowControl w:val="0"/>
        <w:ind w:firstLine="567"/>
        <w:jc w:val="center"/>
        <w:rPr>
          <w:b/>
        </w:rPr>
      </w:pPr>
      <w:r w:rsidRPr="0087610D">
        <w:rPr>
          <w:b/>
        </w:rPr>
        <w:t>Применяемые показатели данного критерия оценки:</w:t>
      </w:r>
    </w:p>
    <w:p w:rsidR="00C247E8" w:rsidRPr="0087610D" w:rsidRDefault="00C247E8" w:rsidP="00C247E8">
      <w:pPr>
        <w:pStyle w:val="a9"/>
        <w:ind w:firstLine="567"/>
        <w:jc w:val="both"/>
        <w:rPr>
          <w:b/>
        </w:rPr>
      </w:pPr>
    </w:p>
    <w:p w:rsidR="00C247E8" w:rsidRPr="0087610D" w:rsidRDefault="00C247E8" w:rsidP="00C247E8">
      <w:pPr>
        <w:pStyle w:val="a9"/>
        <w:ind w:firstLine="567"/>
        <w:jc w:val="both"/>
        <w:rPr>
          <w:b/>
        </w:rPr>
      </w:pPr>
      <w:r w:rsidRPr="0087610D">
        <w:rPr>
          <w:b/>
        </w:rPr>
        <w:lastRenderedPageBreak/>
        <w:t>2.1. Наличие у участников закупки финансовых ресурсов.</w:t>
      </w:r>
    </w:p>
    <w:p w:rsidR="00C247E8" w:rsidRPr="0087610D" w:rsidRDefault="00C247E8" w:rsidP="00C247E8">
      <w:pPr>
        <w:pStyle w:val="a9"/>
        <w:ind w:firstLine="567"/>
        <w:jc w:val="both"/>
        <w:rPr>
          <w:bCs/>
        </w:rPr>
      </w:pPr>
      <w:r w:rsidRPr="0087610D">
        <w:rPr>
          <w:bCs/>
        </w:rPr>
        <w:t>Оценка показателя (баллы): 100 баллов.</w:t>
      </w:r>
    </w:p>
    <w:p w:rsidR="00C247E8" w:rsidRPr="0087610D" w:rsidRDefault="00C247E8" w:rsidP="00C247E8">
      <w:pPr>
        <w:pStyle w:val="a9"/>
        <w:ind w:firstLine="567"/>
        <w:jc w:val="both"/>
        <w:rPr>
          <w:bCs/>
        </w:rPr>
      </w:pPr>
      <w:r w:rsidRPr="0087610D">
        <w:rPr>
          <w:bCs/>
        </w:rPr>
        <w:t>Значимость показателя: 20%.</w:t>
      </w:r>
    </w:p>
    <w:p w:rsidR="00C247E8" w:rsidRPr="0087610D" w:rsidRDefault="00C247E8" w:rsidP="00C247E8">
      <w:pPr>
        <w:pStyle w:val="a9"/>
        <w:ind w:firstLine="567"/>
        <w:jc w:val="both"/>
        <w:rPr>
          <w:bCs/>
        </w:rPr>
      </w:pPr>
      <w:r w:rsidRPr="0087610D">
        <w:rPr>
          <w:bCs/>
        </w:rPr>
        <w:t>По данному показателю оцениваются финансовые ресурсы участника закупки, а именно: стоимость чистых активов, коэффициент обеспеченности собственными оборотными средствами и коэффициент соизмеримости годовой выручки от основной деятельности с суммой договора.</w:t>
      </w:r>
    </w:p>
    <w:p w:rsidR="00C247E8" w:rsidRPr="0087610D" w:rsidRDefault="00C247E8" w:rsidP="00C247E8">
      <w:pPr>
        <w:pStyle w:val="a9"/>
        <w:ind w:firstLine="567"/>
        <w:jc w:val="both"/>
        <w:rPr>
          <w:bCs/>
        </w:rPr>
      </w:pPr>
      <w:r w:rsidRPr="0087610D">
        <w:rPr>
          <w:bCs/>
        </w:rPr>
        <w:t>Показатель оценки, детализирующий показатель оценки:</w:t>
      </w:r>
    </w:p>
    <w:p w:rsidR="00C247E8" w:rsidRPr="0087610D" w:rsidRDefault="00C247E8" w:rsidP="00C247E8">
      <w:pPr>
        <w:pStyle w:val="a9"/>
        <w:numPr>
          <w:ilvl w:val="0"/>
          <w:numId w:val="1"/>
        </w:numPr>
        <w:suppressAutoHyphens w:val="0"/>
        <w:ind w:left="0" w:firstLine="567"/>
        <w:jc w:val="both"/>
        <w:rPr>
          <w:bCs/>
        </w:rPr>
      </w:pPr>
      <w:r w:rsidRPr="0087610D">
        <w:rPr>
          <w:bCs/>
        </w:rPr>
        <w:t>Стоимость чистых активов – 40%</w:t>
      </w:r>
    </w:p>
    <w:p w:rsidR="00C247E8" w:rsidRPr="0087610D" w:rsidRDefault="00C247E8" w:rsidP="00C247E8">
      <w:pPr>
        <w:pStyle w:val="a9"/>
        <w:numPr>
          <w:ilvl w:val="0"/>
          <w:numId w:val="1"/>
        </w:numPr>
        <w:suppressAutoHyphens w:val="0"/>
        <w:ind w:left="0" w:firstLine="567"/>
        <w:jc w:val="both"/>
        <w:rPr>
          <w:bCs/>
        </w:rPr>
      </w:pPr>
      <w:r w:rsidRPr="0087610D">
        <w:rPr>
          <w:bCs/>
        </w:rPr>
        <w:t>Коэффициент обеспеченности собственными оборотными средствами – 20 %</w:t>
      </w:r>
    </w:p>
    <w:p w:rsidR="00C247E8" w:rsidRPr="0087610D" w:rsidRDefault="00C247E8" w:rsidP="00C247E8">
      <w:pPr>
        <w:pStyle w:val="a9"/>
        <w:numPr>
          <w:ilvl w:val="0"/>
          <w:numId w:val="1"/>
        </w:numPr>
        <w:suppressAutoHyphens w:val="0"/>
        <w:ind w:left="0" w:firstLine="567"/>
        <w:jc w:val="both"/>
        <w:rPr>
          <w:bCs/>
        </w:rPr>
      </w:pPr>
      <w:r w:rsidRPr="0087610D">
        <w:rPr>
          <w:bCs/>
        </w:rPr>
        <w:t>Коэффициент соизмеримости годовой выручки от основной деятельности с суммой договора (КСВ) – 40%.</w:t>
      </w:r>
    </w:p>
    <w:p w:rsidR="00C247E8" w:rsidRPr="0087610D" w:rsidRDefault="00C247E8" w:rsidP="00C247E8">
      <w:pPr>
        <w:pStyle w:val="a9"/>
        <w:ind w:firstLine="567"/>
        <w:jc w:val="both"/>
        <w:rPr>
          <w:bCs/>
          <w:iCs/>
        </w:rPr>
      </w:pPr>
    </w:p>
    <w:p w:rsidR="00C247E8" w:rsidRPr="0087610D" w:rsidRDefault="00C247E8" w:rsidP="00C247E8">
      <w:pPr>
        <w:pStyle w:val="a9"/>
        <w:ind w:firstLine="567"/>
        <w:jc w:val="both"/>
        <w:rPr>
          <w:bCs/>
          <w:iCs/>
        </w:rPr>
      </w:pPr>
      <w:r w:rsidRPr="0087610D">
        <w:rPr>
          <w:bCs/>
          <w:iCs/>
        </w:rPr>
        <w:t>К оценке принимаются бухгалтерский баланс и отчет о финансовых результатах за последний отчетный год с отметкой о принятии налоговым органом.</w:t>
      </w:r>
    </w:p>
    <w:p w:rsidR="00C247E8" w:rsidRPr="0087610D" w:rsidRDefault="00C247E8" w:rsidP="00C247E8">
      <w:pPr>
        <w:pStyle w:val="a9"/>
        <w:ind w:firstLine="567"/>
        <w:jc w:val="both"/>
        <w:rPr>
          <w:bCs/>
        </w:rPr>
      </w:pPr>
      <w:r w:rsidRPr="0087610D">
        <w:rPr>
          <w:bCs/>
        </w:rPr>
        <w:t>Участник закупки предоставляет документы в полном объеме и со всеми приложениями в форме электронных документов или в форме электронных образов бумажных документов.</w:t>
      </w:r>
    </w:p>
    <w:p w:rsidR="00C247E8" w:rsidRPr="0087610D" w:rsidRDefault="00C247E8" w:rsidP="00C247E8">
      <w:pPr>
        <w:pStyle w:val="a9"/>
        <w:ind w:firstLine="567"/>
        <w:jc w:val="both"/>
      </w:pPr>
    </w:p>
    <w:p w:rsidR="00C247E8" w:rsidRPr="0087610D" w:rsidRDefault="00C247E8" w:rsidP="00C247E8">
      <w:pPr>
        <w:pStyle w:val="a9"/>
        <w:ind w:firstLine="567"/>
        <w:jc w:val="both"/>
      </w:pPr>
      <w:r w:rsidRPr="0087610D">
        <w:t>Значение количества баллов по детализирующему показателю(БХ</w:t>
      </w:r>
      <w:r w:rsidRPr="0087610D">
        <w:rPr>
          <w:vertAlign w:val="subscript"/>
        </w:rPr>
        <w:t>i</w:t>
      </w:r>
      <w:r w:rsidRPr="0087610D">
        <w:t>), присваиваемых заявке, подлежащей оценке рассчитывается следующим образом:</w:t>
      </w:r>
    </w:p>
    <w:p w:rsidR="00C247E8" w:rsidRPr="0087610D" w:rsidRDefault="00C247E8" w:rsidP="00C247E8">
      <w:pPr>
        <w:widowControl w:val="0"/>
        <w:ind w:firstLine="567"/>
        <w:jc w:val="both"/>
        <w:rPr>
          <w:highlight w:val="yellow"/>
        </w:rPr>
      </w:pPr>
      <w:r w:rsidRPr="0087610D">
        <w:rPr>
          <w:noProof/>
          <w:position w:val="-26"/>
          <w:lang w:eastAsia="ru-RU"/>
        </w:rPr>
        <w:drawing>
          <wp:inline distT="0" distB="0" distL="0" distR="0" wp14:anchorId="4A4A351D" wp14:editId="1BE46E48">
            <wp:extent cx="2085975" cy="476250"/>
            <wp:effectExtent l="0" t="0" r="9525" b="0"/>
            <wp:docPr id="13" name="Рисунок 13"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6141_3277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rsidR="00C247E8" w:rsidRPr="0087610D" w:rsidRDefault="00C247E8" w:rsidP="00C247E8">
      <w:pPr>
        <w:ind w:firstLine="567"/>
        <w:jc w:val="both"/>
      </w:pPr>
      <w:r w:rsidRPr="0087610D">
        <w:t>где:</w:t>
      </w:r>
    </w:p>
    <w:p w:rsidR="00C247E8" w:rsidRPr="0087610D" w:rsidRDefault="00C247E8" w:rsidP="00C247E8">
      <w:pPr>
        <w:ind w:firstLine="567"/>
        <w:jc w:val="both"/>
      </w:pPr>
      <w:r w:rsidRPr="0087610D">
        <w:t>Х</w:t>
      </w:r>
      <w:r w:rsidRPr="0087610D">
        <w:rPr>
          <w:vertAlign w:val="subscript"/>
        </w:rPr>
        <w:t>max</w:t>
      </w:r>
      <w:r w:rsidRPr="0087610D">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ind w:firstLine="567"/>
        <w:jc w:val="both"/>
      </w:pPr>
      <w:r w:rsidRPr="0087610D">
        <w:t>Х</w:t>
      </w:r>
      <w:r w:rsidRPr="0087610D">
        <w:rPr>
          <w:vertAlign w:val="subscript"/>
        </w:rPr>
        <w:t>i</w:t>
      </w:r>
      <w:r w:rsidRPr="0087610D">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ind w:firstLine="567"/>
        <w:jc w:val="both"/>
      </w:pPr>
      <w:r w:rsidRPr="0087610D">
        <w:t>Х</w:t>
      </w:r>
      <w:r w:rsidRPr="0087610D">
        <w:rPr>
          <w:vertAlign w:val="subscript"/>
        </w:rPr>
        <w:t>min</w:t>
      </w:r>
      <w:r w:rsidRPr="0087610D">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widowControl w:val="0"/>
        <w:ind w:firstLine="567"/>
        <w:jc w:val="both"/>
      </w:pPr>
    </w:p>
    <w:p w:rsidR="00C247E8" w:rsidRPr="0087610D" w:rsidRDefault="00C247E8" w:rsidP="00C247E8">
      <w:pPr>
        <w:widowControl w:val="0"/>
        <w:snapToGrid w:val="0"/>
        <w:ind w:firstLine="567"/>
        <w:contextualSpacing/>
        <w:jc w:val="both"/>
      </w:pPr>
      <w:r w:rsidRPr="0087610D">
        <w:rPr>
          <w:w w:val="105"/>
        </w:rPr>
        <w:t>Непредставление</w:t>
      </w:r>
      <w:r w:rsidRPr="0087610D">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C247E8" w:rsidRPr="0087610D" w:rsidRDefault="00C247E8" w:rsidP="00C247E8">
      <w:pPr>
        <w:pStyle w:val="a9"/>
        <w:ind w:firstLine="567"/>
        <w:jc w:val="both"/>
        <w:rPr>
          <w:b/>
        </w:rPr>
      </w:pPr>
    </w:p>
    <w:p w:rsidR="00C247E8" w:rsidRPr="0087610D" w:rsidRDefault="00C247E8" w:rsidP="00C247E8">
      <w:pPr>
        <w:pStyle w:val="a9"/>
        <w:ind w:firstLine="567"/>
        <w:jc w:val="both"/>
      </w:pPr>
      <w:r w:rsidRPr="0087610D">
        <w:rPr>
          <w:b/>
        </w:rPr>
        <w:t>2.2.</w:t>
      </w:r>
      <w:r w:rsidRPr="0087610D">
        <w:t xml:space="preserve"> </w:t>
      </w:r>
      <w:r w:rsidRPr="0087610D">
        <w:rPr>
          <w:b/>
        </w:rPr>
        <w:t>Наличие у участников закупки опыта поставки товара, выполнения работы, оказания услуги, связанного с предметом контракта.</w:t>
      </w:r>
    </w:p>
    <w:p w:rsidR="00C247E8" w:rsidRPr="0087610D" w:rsidRDefault="00C247E8" w:rsidP="00C247E8">
      <w:pPr>
        <w:pStyle w:val="a9"/>
        <w:ind w:firstLine="567"/>
        <w:jc w:val="both"/>
      </w:pPr>
      <w:r w:rsidRPr="0087610D">
        <w:t>Оценка показателя (баллы): 100 баллов.</w:t>
      </w:r>
    </w:p>
    <w:p w:rsidR="00C247E8" w:rsidRPr="0087610D" w:rsidRDefault="00C247E8" w:rsidP="00C247E8">
      <w:pPr>
        <w:pStyle w:val="a9"/>
        <w:ind w:firstLine="567"/>
        <w:jc w:val="both"/>
      </w:pPr>
      <w:r w:rsidRPr="0087610D">
        <w:t>Значимость показателя: 30%.</w:t>
      </w:r>
    </w:p>
    <w:p w:rsidR="00C247E8" w:rsidRPr="0087610D" w:rsidRDefault="00C247E8" w:rsidP="00C247E8">
      <w:pPr>
        <w:pStyle w:val="a9"/>
        <w:ind w:firstLine="567"/>
        <w:jc w:val="both"/>
      </w:pPr>
    </w:p>
    <w:p w:rsidR="00C247E8" w:rsidRPr="0087610D" w:rsidRDefault="00C247E8" w:rsidP="00C247E8">
      <w:pPr>
        <w:pStyle w:val="a9"/>
        <w:ind w:firstLine="567"/>
        <w:jc w:val="both"/>
      </w:pPr>
      <w:r w:rsidRPr="0087610D">
        <w:t>По данному показателю оценивается общая цена исполненных участником закупки договоров.</w:t>
      </w:r>
    </w:p>
    <w:p w:rsidR="00C247E8" w:rsidRPr="0087610D" w:rsidRDefault="00C247E8" w:rsidP="00C247E8">
      <w:pPr>
        <w:pStyle w:val="a9"/>
        <w:ind w:firstLine="567"/>
        <w:jc w:val="both"/>
      </w:pPr>
    </w:p>
    <w:p w:rsidR="00C247E8" w:rsidRPr="0087610D" w:rsidRDefault="00C247E8" w:rsidP="00C247E8">
      <w:pPr>
        <w:pStyle w:val="a9"/>
        <w:ind w:firstLine="567"/>
        <w:jc w:val="both"/>
      </w:pPr>
      <w:r w:rsidRPr="0087610D">
        <w:t>Показатель оценки, детализирующий показатель оценки:</w:t>
      </w:r>
    </w:p>
    <w:p w:rsidR="00C247E8" w:rsidRPr="0087610D" w:rsidRDefault="00C247E8" w:rsidP="00C247E8">
      <w:pPr>
        <w:pStyle w:val="a9"/>
        <w:numPr>
          <w:ilvl w:val="0"/>
          <w:numId w:val="2"/>
        </w:numPr>
        <w:suppressAutoHyphens w:val="0"/>
        <w:ind w:left="0" w:firstLine="567"/>
        <w:jc w:val="both"/>
      </w:pPr>
      <w:r w:rsidRPr="0087610D">
        <w:t>общая цена исполненных участником закупки договоров – 100%.</w:t>
      </w:r>
    </w:p>
    <w:p w:rsidR="00C247E8" w:rsidRPr="0087610D" w:rsidRDefault="00C247E8" w:rsidP="00C247E8">
      <w:pPr>
        <w:pStyle w:val="a9"/>
        <w:ind w:firstLine="567"/>
        <w:jc w:val="both"/>
      </w:pPr>
    </w:p>
    <w:p w:rsidR="00C247E8" w:rsidRPr="0087610D" w:rsidRDefault="00C247E8" w:rsidP="00C247E8">
      <w:pPr>
        <w:widowControl w:val="0"/>
        <w:ind w:firstLine="567"/>
        <w:jc w:val="both"/>
        <w:rPr>
          <w:lang w:eastAsia="en-US"/>
        </w:rPr>
      </w:pPr>
      <w:r w:rsidRPr="0087610D">
        <w:rPr>
          <w:lang w:eastAsia="en-US"/>
        </w:rPr>
        <w:t xml:space="preserve">Предмет договора (контракта), сопоставимый с предметом договора (контракта), заключаемого по результатам определения исполнителя – договоры (контракты) на выполнение работ по изготовлению </w:t>
      </w:r>
      <w:r>
        <w:rPr>
          <w:lang w:eastAsia="en-US"/>
        </w:rPr>
        <w:t>протезов с микропроцессорным управлением</w:t>
      </w:r>
      <w:r w:rsidRPr="0087610D">
        <w:rPr>
          <w:lang w:eastAsia="en-US"/>
        </w:rPr>
        <w:t>.</w:t>
      </w:r>
    </w:p>
    <w:p w:rsidR="00C247E8" w:rsidRPr="0087610D" w:rsidRDefault="00C247E8" w:rsidP="00C247E8">
      <w:pPr>
        <w:widowControl w:val="0"/>
        <w:ind w:firstLine="567"/>
        <w:jc w:val="both"/>
        <w:rPr>
          <w:lang w:eastAsia="en-US"/>
        </w:rPr>
      </w:pPr>
    </w:p>
    <w:p w:rsidR="00C247E8" w:rsidRPr="0087610D" w:rsidRDefault="00C247E8" w:rsidP="00C247E8">
      <w:pPr>
        <w:widowControl w:val="0"/>
        <w:ind w:firstLine="567"/>
        <w:jc w:val="both"/>
        <w:rPr>
          <w:lang w:eastAsia="en-US"/>
        </w:rPr>
      </w:pPr>
      <w:r w:rsidRPr="0087610D">
        <w:rPr>
          <w:lang w:eastAsia="en-US"/>
        </w:rPr>
        <w:t>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(договора):</w:t>
      </w:r>
    </w:p>
    <w:p w:rsidR="00C247E8" w:rsidRPr="0087610D" w:rsidRDefault="00C247E8" w:rsidP="00C247E8">
      <w:pPr>
        <w:pStyle w:val="a7"/>
        <w:widowControl w:val="0"/>
        <w:numPr>
          <w:ilvl w:val="0"/>
          <w:numId w:val="4"/>
        </w:numPr>
        <w:ind w:left="0" w:firstLine="567"/>
        <w:jc w:val="both"/>
        <w:rPr>
          <w:lang w:eastAsia="en-US"/>
        </w:rPr>
      </w:pPr>
      <w:r w:rsidRPr="0087610D">
        <w:rPr>
          <w:lang w:eastAsia="en-US"/>
        </w:rPr>
        <w:t>исполненный договор (договоры), контракт (контракты), сопоставимые с предметом заключаемого контракта;</w:t>
      </w:r>
    </w:p>
    <w:p w:rsidR="00C247E8" w:rsidRPr="0087610D" w:rsidRDefault="00C247E8" w:rsidP="00C247E8">
      <w:pPr>
        <w:pStyle w:val="a7"/>
        <w:widowControl w:val="0"/>
        <w:numPr>
          <w:ilvl w:val="0"/>
          <w:numId w:val="4"/>
        </w:numPr>
        <w:ind w:left="0" w:firstLine="567"/>
        <w:jc w:val="both"/>
        <w:rPr>
          <w:lang w:eastAsia="en-US"/>
        </w:rPr>
      </w:pPr>
      <w:r w:rsidRPr="0087610D">
        <w:rPr>
          <w:lang w:eastAsia="en-US"/>
        </w:rPr>
        <w:t xml:space="preserve"> акт (акты) приемки выполненных работ, составленные при исполнении такого договора (договоров), контракта (контрактов)</w:t>
      </w:r>
      <w:r w:rsidRPr="0087610D">
        <w:rPr>
          <w:rStyle w:val="a6"/>
          <w:lang w:eastAsia="en-US"/>
        </w:rPr>
        <w:footnoteReference w:id="1"/>
      </w:r>
    </w:p>
    <w:p w:rsidR="00C247E8" w:rsidRPr="0087610D" w:rsidRDefault="00C247E8" w:rsidP="00C247E8">
      <w:pPr>
        <w:widowControl w:val="0"/>
        <w:ind w:firstLine="567"/>
        <w:jc w:val="both"/>
        <w:rPr>
          <w:lang w:eastAsia="en-US"/>
        </w:rPr>
      </w:pPr>
      <w:r w:rsidRPr="0087610D">
        <w:rPr>
          <w:lang w:eastAsia="en-US"/>
        </w:rPr>
        <w:t>К оценке принимаются исключительно исполненные договоры (контракты), при исполнении которого исполнителем исполнены требования об уплате неустоек (штрафов, пеней) (в случае начисления неустоек).</w:t>
      </w:r>
    </w:p>
    <w:p w:rsidR="00C247E8" w:rsidRPr="0087610D" w:rsidRDefault="00C247E8" w:rsidP="00C247E8">
      <w:pPr>
        <w:widowControl w:val="0"/>
        <w:ind w:firstLine="567"/>
        <w:jc w:val="both"/>
      </w:pPr>
    </w:p>
    <w:p w:rsidR="00C247E8" w:rsidRPr="0087610D" w:rsidRDefault="00C247E8" w:rsidP="00C247E8">
      <w:pPr>
        <w:widowControl w:val="0"/>
        <w:ind w:firstLine="567"/>
        <w:jc w:val="both"/>
      </w:pPr>
      <w:r w:rsidRPr="0087610D">
        <w:t>Последний акт, составленный при исполнении договора (контракта) должен быть подписан не ранее чем за 5 лет до даты окончания срока подачи заявок.</w:t>
      </w:r>
    </w:p>
    <w:p w:rsidR="00C247E8" w:rsidRPr="0087610D" w:rsidRDefault="00C247E8" w:rsidP="00C247E8">
      <w:pPr>
        <w:widowControl w:val="0"/>
        <w:ind w:firstLine="567"/>
        <w:jc w:val="both"/>
      </w:pPr>
      <w:r w:rsidRPr="0087610D">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w:t>
      </w:r>
    </w:p>
    <w:p w:rsidR="00C247E8" w:rsidRPr="0087610D" w:rsidRDefault="00C247E8" w:rsidP="00C247E8">
      <w:pPr>
        <w:pStyle w:val="a9"/>
        <w:ind w:firstLine="567"/>
        <w:jc w:val="both"/>
      </w:pPr>
      <w:r w:rsidRPr="0087610D">
        <w:t>К оценке принимаются документы в случае их представления в заявке в полном объеме и со всеми приложениями. Документы направляются в форме электронных документов или в форме электронных образов бумажных документов.</w:t>
      </w:r>
    </w:p>
    <w:p w:rsidR="00C247E8" w:rsidRPr="0087610D" w:rsidRDefault="00C247E8" w:rsidP="00C247E8">
      <w:pPr>
        <w:pStyle w:val="a9"/>
        <w:ind w:firstLine="567"/>
        <w:jc w:val="both"/>
      </w:pPr>
      <w:r w:rsidRPr="0087610D">
        <w:lastRenderedPageBreak/>
        <w:t>Значение количества баллов по детализирующему показателю(БХi), присваиваемых заявке, подлежащей оценке рассчитывается следующим образом:</w:t>
      </w:r>
    </w:p>
    <w:p w:rsidR="00C247E8" w:rsidRPr="0087610D" w:rsidRDefault="00C247E8" w:rsidP="00C247E8">
      <w:pPr>
        <w:widowControl w:val="0"/>
        <w:ind w:firstLine="567"/>
        <w:jc w:val="both"/>
      </w:pPr>
      <w:r w:rsidRPr="0087610D">
        <w:rPr>
          <w:noProof/>
          <w:position w:val="-26"/>
          <w:lang w:eastAsia="ru-RU"/>
        </w:rPr>
        <w:drawing>
          <wp:inline distT="0" distB="0" distL="0" distR="0" wp14:anchorId="25678458" wp14:editId="0F4CE2B0">
            <wp:extent cx="2085975" cy="476250"/>
            <wp:effectExtent l="0" t="0" r="9525" b="0"/>
            <wp:docPr id="17" name="Рисунок 17"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6141_3277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rsidR="00C247E8" w:rsidRPr="0087610D" w:rsidRDefault="00C247E8" w:rsidP="00C247E8">
      <w:pPr>
        <w:ind w:firstLine="567"/>
        <w:jc w:val="both"/>
      </w:pPr>
      <w:r w:rsidRPr="0087610D">
        <w:t>где:</w:t>
      </w:r>
    </w:p>
    <w:p w:rsidR="00C247E8" w:rsidRPr="0087610D" w:rsidRDefault="00C247E8" w:rsidP="00C247E8">
      <w:pPr>
        <w:ind w:firstLine="567"/>
        <w:jc w:val="both"/>
      </w:pPr>
      <w:r w:rsidRPr="0087610D">
        <w:t>Х</w:t>
      </w:r>
      <w:r w:rsidRPr="0087610D">
        <w:rPr>
          <w:vertAlign w:val="subscript"/>
        </w:rPr>
        <w:t>max</w:t>
      </w:r>
      <w:r w:rsidRPr="0087610D">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w:t>
      </w:r>
      <w:bookmarkStart w:id="3" w:name="_Hlk92815433"/>
      <w:r w:rsidRPr="0087610D">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bookmarkEnd w:id="3"/>
      <w:r w:rsidRPr="0087610D">
        <w:t>;</w:t>
      </w:r>
    </w:p>
    <w:p w:rsidR="00C247E8" w:rsidRPr="0087610D" w:rsidRDefault="00C247E8" w:rsidP="00C247E8">
      <w:pPr>
        <w:ind w:firstLine="567"/>
        <w:jc w:val="both"/>
      </w:pPr>
      <w:r w:rsidRPr="0087610D">
        <w:t>Х</w:t>
      </w:r>
      <w:r w:rsidRPr="0087610D">
        <w:rPr>
          <w:vertAlign w:val="subscript"/>
        </w:rPr>
        <w:t>i</w:t>
      </w:r>
      <w:r w:rsidRPr="0087610D">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ind w:firstLine="567"/>
        <w:jc w:val="both"/>
      </w:pPr>
      <w:r w:rsidRPr="0087610D">
        <w:t>Х</w:t>
      </w:r>
      <w:r w:rsidRPr="0087610D">
        <w:rPr>
          <w:vertAlign w:val="subscript"/>
        </w:rPr>
        <w:t>min</w:t>
      </w:r>
      <w:r w:rsidRPr="0087610D">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widowControl w:val="0"/>
        <w:ind w:firstLine="567"/>
        <w:jc w:val="both"/>
      </w:pPr>
    </w:p>
    <w:p w:rsidR="00C247E8" w:rsidRPr="0087610D" w:rsidRDefault="00C247E8" w:rsidP="00C247E8">
      <w:pPr>
        <w:widowControl w:val="0"/>
        <w:snapToGrid w:val="0"/>
        <w:ind w:firstLine="567"/>
        <w:contextualSpacing/>
        <w:jc w:val="both"/>
      </w:pPr>
      <w:r w:rsidRPr="0087610D">
        <w:rPr>
          <w:w w:val="105"/>
        </w:rPr>
        <w:t>Непредставление</w:t>
      </w:r>
      <w:r w:rsidRPr="0087610D">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C247E8" w:rsidRPr="0087610D" w:rsidRDefault="00C247E8" w:rsidP="00C247E8">
      <w:pPr>
        <w:widowControl w:val="0"/>
        <w:ind w:firstLine="567"/>
        <w:jc w:val="both"/>
      </w:pPr>
    </w:p>
    <w:p w:rsidR="00C247E8" w:rsidRPr="0087610D" w:rsidRDefault="00C247E8" w:rsidP="00C247E8">
      <w:pPr>
        <w:widowControl w:val="0"/>
        <w:ind w:firstLine="567"/>
        <w:jc w:val="both"/>
        <w:rPr>
          <w:rFonts w:eastAsia="Arial"/>
          <w:b/>
        </w:rPr>
      </w:pPr>
      <w:r w:rsidRPr="0087610D">
        <w:rPr>
          <w:rFonts w:eastAsia="Arial"/>
          <w:b/>
        </w:rPr>
        <w:t xml:space="preserve">2.3. </w:t>
      </w:r>
      <w:r w:rsidRPr="0087610D">
        <w:rPr>
          <w:b/>
        </w:rPr>
        <w:t>Наличие у участников закупки специалистов и иных работников определенного уровня квалификации.</w:t>
      </w:r>
    </w:p>
    <w:p w:rsidR="00C247E8" w:rsidRPr="0087610D" w:rsidRDefault="00C247E8" w:rsidP="00C247E8">
      <w:pPr>
        <w:widowControl w:val="0"/>
        <w:ind w:firstLine="567"/>
        <w:jc w:val="both"/>
      </w:pPr>
      <w:r w:rsidRPr="0087610D">
        <w:t>Оценка показателя (баллы): 100 баллов</w:t>
      </w:r>
    </w:p>
    <w:p w:rsidR="00C247E8" w:rsidRPr="0087610D" w:rsidRDefault="00C247E8" w:rsidP="00C247E8">
      <w:pPr>
        <w:pStyle w:val="a9"/>
        <w:ind w:firstLine="567"/>
        <w:jc w:val="both"/>
      </w:pPr>
      <w:r w:rsidRPr="0087610D">
        <w:t>Значимость показателя: 50%.</w:t>
      </w:r>
    </w:p>
    <w:p w:rsidR="00C247E8" w:rsidRPr="0087610D" w:rsidRDefault="00C247E8" w:rsidP="00C247E8">
      <w:pPr>
        <w:widowControl w:val="0"/>
        <w:ind w:firstLine="567"/>
        <w:jc w:val="both"/>
      </w:pPr>
    </w:p>
    <w:p w:rsidR="00C247E8" w:rsidRPr="0087610D" w:rsidRDefault="00C247E8" w:rsidP="00C247E8">
      <w:pPr>
        <w:widowControl w:val="0"/>
        <w:ind w:firstLine="567"/>
        <w:jc w:val="both"/>
      </w:pPr>
      <w:r w:rsidRPr="0087610D">
        <w:t>Показатель оценки, детализирующий показатель оценки:</w:t>
      </w:r>
    </w:p>
    <w:p w:rsidR="00C247E8" w:rsidRPr="0087610D" w:rsidRDefault="00C247E8" w:rsidP="00C247E8">
      <w:pPr>
        <w:pStyle w:val="a7"/>
        <w:widowControl w:val="0"/>
        <w:numPr>
          <w:ilvl w:val="0"/>
          <w:numId w:val="3"/>
        </w:numPr>
        <w:ind w:left="0" w:firstLine="567"/>
        <w:jc w:val="both"/>
      </w:pPr>
      <w:r w:rsidRPr="0087610D">
        <w:t>Наличие специалистов и иных работников, их квалификация, необходимые для выполнения работ, являющихся объектом закупки – 100%.</w:t>
      </w:r>
    </w:p>
    <w:p w:rsidR="00C247E8" w:rsidRPr="0087610D" w:rsidRDefault="00C247E8" w:rsidP="00C247E8">
      <w:pPr>
        <w:pStyle w:val="a9"/>
        <w:ind w:firstLine="567"/>
        <w:jc w:val="both"/>
      </w:pPr>
      <w:r w:rsidRPr="0087610D">
        <w:t>Для оценки заявок по данному показателю устанавливается:</w:t>
      </w:r>
    </w:p>
    <w:p w:rsidR="00C247E8" w:rsidRPr="0087610D" w:rsidRDefault="00C247E8" w:rsidP="00C247E8">
      <w:pPr>
        <w:pStyle w:val="a9"/>
        <w:ind w:firstLine="567"/>
        <w:jc w:val="both"/>
      </w:pPr>
      <w:r w:rsidRPr="0087610D">
        <w:t>а) одновременное наличие специалистов и иных работников, их квалификация, необходимые для выполнения работ, являющихся объектом закупки, а именно:</w:t>
      </w:r>
    </w:p>
    <w:p w:rsidR="00C247E8" w:rsidRPr="0087610D" w:rsidRDefault="00C247E8" w:rsidP="00C247E8">
      <w:pPr>
        <w:pStyle w:val="a9"/>
        <w:ind w:firstLine="567"/>
        <w:jc w:val="both"/>
      </w:pPr>
      <w:r w:rsidRPr="0087610D">
        <w:lastRenderedPageBreak/>
        <w:t>- врач-ортопед (либо врач травматолог-ортопед в соответствии с Приказом Минтруда России от 12.11.2018 № 698н "Об утверждении профессионального стандарта "Врач - травматолог-ортопед");</w:t>
      </w:r>
    </w:p>
    <w:p w:rsidR="00C247E8" w:rsidRPr="0087610D" w:rsidRDefault="00C247E8" w:rsidP="00C247E8">
      <w:pPr>
        <w:pStyle w:val="a9"/>
        <w:ind w:firstLine="567"/>
        <w:jc w:val="both"/>
      </w:pPr>
      <w:r w:rsidRPr="0087610D">
        <w:t xml:space="preserve">- инженер-протезист (техник-протезист, техник, механик протезно-ортопедических изделий); </w:t>
      </w:r>
    </w:p>
    <w:p w:rsidR="00C247E8" w:rsidRPr="00AF1ED6" w:rsidRDefault="00C247E8" w:rsidP="00C247E8">
      <w:pPr>
        <w:widowControl w:val="0"/>
        <w:ind w:firstLine="567"/>
        <w:jc w:val="both"/>
      </w:pPr>
      <w:r w:rsidRPr="00AF1ED6">
        <w:t xml:space="preserve">- </w:t>
      </w:r>
      <w:r>
        <w:t>механик ПОИ</w:t>
      </w:r>
      <w:r w:rsidRPr="00AF1ED6">
        <w:t>.</w:t>
      </w:r>
    </w:p>
    <w:p w:rsidR="00C247E8" w:rsidRPr="00AF1ED6" w:rsidRDefault="00C247E8" w:rsidP="00C247E8">
      <w:pPr>
        <w:pStyle w:val="a9"/>
        <w:ind w:firstLine="567"/>
        <w:jc w:val="both"/>
      </w:pPr>
      <w:r w:rsidRPr="00AF1ED6">
        <w:t>б) перечень следующих документов, подтверждающих наличие специалистов и иных работников, их квалификацию, предусмотренные перечнем, установленным в соответствии с подпунктом "а" настоящего пункта:</w:t>
      </w:r>
    </w:p>
    <w:p w:rsidR="00C247E8" w:rsidRPr="00AF1ED6" w:rsidRDefault="00C247E8" w:rsidP="00C247E8">
      <w:pPr>
        <w:pStyle w:val="a9"/>
        <w:ind w:firstLine="567"/>
        <w:jc w:val="both"/>
      </w:pPr>
      <w:r w:rsidRPr="00AF1ED6">
        <w:t>- трудовая книжка или сведения о трудовой деятельности, предусмотренные статьей 66.1 Трудового кодекса Российской Федерации (в том числе копии формы «Сведения о застрахованных лицах (форма СЗВ-М)» с документом, подтверждающим направление и принятие данных сведений ПФР РФ за отчетный период, предшествующий последнему отчетному периоду на момент окончания срока подачи заявок);</w:t>
      </w:r>
    </w:p>
    <w:p w:rsidR="00C247E8" w:rsidRPr="00AF1ED6" w:rsidRDefault="00C247E8" w:rsidP="00C247E8">
      <w:pPr>
        <w:pStyle w:val="a9"/>
        <w:ind w:firstLine="567"/>
        <w:jc w:val="both"/>
      </w:pPr>
      <w:r w:rsidRPr="00AF1ED6">
        <w:t xml:space="preserve">- документы, подтверждающие квалификацию специалистов и иных работников (дипломы, свидетельства, сертификаты и т.п.): диплом о профессиональном образовании в области ортопедии (или смежных областях) или документ, подтверждающий прохождение повышения квалификации (переподготовки) в области оказания услуг по обеспечению </w:t>
      </w:r>
      <w:r>
        <w:t>протезом предплечья с микропроцессорным управлением</w:t>
      </w:r>
      <w:r w:rsidRPr="00AF1ED6">
        <w:t>;</w:t>
      </w:r>
    </w:p>
    <w:p w:rsidR="00C247E8" w:rsidRPr="0087610D" w:rsidRDefault="00C247E8" w:rsidP="00C247E8">
      <w:pPr>
        <w:pStyle w:val="a9"/>
        <w:ind w:firstLine="567"/>
        <w:jc w:val="both"/>
      </w:pPr>
      <w:r w:rsidRPr="00AF1ED6">
        <w:t>- документы, подтверждающие предусмотренную в соответствии с профессиональным стандартом квалификацию</w:t>
      </w:r>
      <w:r w:rsidRPr="0087610D">
        <w:t xml:space="preserve"> врача-травматолога-ортопеда (при наличии в штате у участника закупки) врача травматолога-ортопеда: документы о высшем образовании - специалитет по специальности "Лечебное дело" или "Педиатрия" и документы о подготовке в ординатуре по специальности "Травматология и ортопедия" (Сертификат специалиста по специальности "Травматология и ортопедия") или документы о высшем образовании - специалитет по специальности "Лечебное дело" или "Педиатрия" и документы об освоении программы ординатуры по специальности "Травматология и ортопедия" в части, касающейся профессиональных компетенций (свидетельство об аккредитации специалиста по специальности "Травматология и ортопедия", полученное по результатам освоения программы ординатуры по специальности "Травматология и ортопедия" в части, касающейся профессиональных компетенций, соответствующих обобщенной трудовой функции кода A профессионального стандарта "Врач - травматолог-ортопед").</w:t>
      </w:r>
    </w:p>
    <w:p w:rsidR="00C247E8" w:rsidRPr="0087610D" w:rsidRDefault="00C247E8" w:rsidP="00C247E8">
      <w:pPr>
        <w:pStyle w:val="a9"/>
        <w:ind w:firstLine="567"/>
        <w:jc w:val="both"/>
      </w:pPr>
    </w:p>
    <w:p w:rsidR="00C247E8" w:rsidRPr="0087610D" w:rsidRDefault="00C247E8" w:rsidP="00C247E8">
      <w:pPr>
        <w:pStyle w:val="a9"/>
        <w:ind w:firstLine="567"/>
        <w:jc w:val="both"/>
      </w:pPr>
      <w:r w:rsidRPr="0087610D">
        <w:t>Значение количества баллов по детализирующему показателю(БХi), присваиваемых заявке, подлежащей оценке рассчитывается следующим образом:</w:t>
      </w:r>
    </w:p>
    <w:p w:rsidR="00C247E8" w:rsidRPr="0087610D" w:rsidRDefault="00C247E8" w:rsidP="00C247E8">
      <w:pPr>
        <w:widowControl w:val="0"/>
        <w:ind w:firstLine="567"/>
        <w:jc w:val="both"/>
      </w:pPr>
      <w:r w:rsidRPr="0087610D">
        <w:rPr>
          <w:noProof/>
          <w:position w:val="-26"/>
          <w:lang w:eastAsia="ru-RU"/>
        </w:rPr>
        <w:drawing>
          <wp:inline distT="0" distB="0" distL="0" distR="0" wp14:anchorId="13A12EB1" wp14:editId="2988EAFC">
            <wp:extent cx="2085975" cy="476250"/>
            <wp:effectExtent l="0" t="0" r="9525" b="0"/>
            <wp:docPr id="14" name="Рисунок 14"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406141_3277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a:ln>
                      <a:noFill/>
                    </a:ln>
                  </pic:spPr>
                </pic:pic>
              </a:graphicData>
            </a:graphic>
          </wp:inline>
        </w:drawing>
      </w:r>
    </w:p>
    <w:p w:rsidR="00C247E8" w:rsidRPr="0087610D" w:rsidRDefault="00C247E8" w:rsidP="00C247E8">
      <w:pPr>
        <w:widowControl w:val="0"/>
        <w:ind w:firstLine="567"/>
        <w:jc w:val="both"/>
      </w:pPr>
    </w:p>
    <w:p w:rsidR="00C247E8" w:rsidRPr="0087610D" w:rsidRDefault="00C247E8" w:rsidP="00C247E8">
      <w:pPr>
        <w:ind w:firstLine="567"/>
        <w:jc w:val="both"/>
      </w:pPr>
      <w:r w:rsidRPr="0087610D">
        <w:t>где:</w:t>
      </w:r>
    </w:p>
    <w:p w:rsidR="00C247E8" w:rsidRPr="0087610D" w:rsidRDefault="00C247E8" w:rsidP="00C247E8">
      <w:pPr>
        <w:ind w:firstLine="567"/>
        <w:jc w:val="both"/>
      </w:pPr>
      <w:r w:rsidRPr="0087610D">
        <w:t>Х</w:t>
      </w:r>
      <w:r w:rsidRPr="0087610D">
        <w:rPr>
          <w:vertAlign w:val="subscript"/>
        </w:rPr>
        <w:t>max</w:t>
      </w:r>
      <w:r w:rsidRPr="0087610D">
        <w:t xml:space="preserve"> - максимальное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ind w:firstLine="567"/>
        <w:jc w:val="both"/>
      </w:pPr>
      <w:r w:rsidRPr="0087610D">
        <w:lastRenderedPageBreak/>
        <w:t>Х</w:t>
      </w:r>
      <w:r w:rsidRPr="0087610D">
        <w:rPr>
          <w:vertAlign w:val="subscript"/>
        </w:rPr>
        <w:t>i</w:t>
      </w:r>
      <w:r w:rsidRPr="0087610D">
        <w:t xml:space="preserve"> - значение, содержащееся в предложении участника закупки, заявка (часть заявки) которого подлежит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ind w:firstLine="567"/>
        <w:jc w:val="both"/>
      </w:pPr>
      <w:r w:rsidRPr="0087610D">
        <w:t>Х</w:t>
      </w:r>
      <w:r w:rsidRPr="0087610D">
        <w:rPr>
          <w:vertAlign w:val="subscript"/>
        </w:rPr>
        <w:t>min</w:t>
      </w:r>
      <w:r w:rsidRPr="0087610D">
        <w:t xml:space="preserve"> - минимальное значение, содержащееся в заявках (частях заявок), подлежащих в соответствии с Законом о контрактной системе оценке по критерию оценки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C247E8" w:rsidRPr="0087610D" w:rsidRDefault="00C247E8" w:rsidP="00C247E8">
      <w:pPr>
        <w:widowControl w:val="0"/>
        <w:snapToGrid w:val="0"/>
        <w:ind w:firstLine="567"/>
        <w:contextualSpacing/>
        <w:jc w:val="both"/>
        <w:rPr>
          <w:w w:val="105"/>
        </w:rPr>
      </w:pPr>
    </w:p>
    <w:p w:rsidR="00C247E8" w:rsidRPr="0087610D" w:rsidRDefault="00C247E8" w:rsidP="00C247E8">
      <w:pPr>
        <w:widowControl w:val="0"/>
        <w:snapToGrid w:val="0"/>
        <w:ind w:firstLine="567"/>
        <w:contextualSpacing/>
        <w:jc w:val="both"/>
      </w:pPr>
      <w:r w:rsidRPr="0087610D">
        <w:rPr>
          <w:w w:val="105"/>
        </w:rPr>
        <w:t>Непредставление</w:t>
      </w:r>
      <w:r w:rsidRPr="0087610D">
        <w:t xml:space="preserve"> в составе заявки на участие в закупке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закупке.</w:t>
      </w:r>
    </w:p>
    <w:p w:rsidR="001A32D3" w:rsidRPr="00F27247" w:rsidRDefault="001A32D3" w:rsidP="00F27247"/>
    <w:sectPr w:rsidR="001A32D3" w:rsidRPr="00F27247" w:rsidSect="00C247E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E8" w:rsidRDefault="00C247E8" w:rsidP="00C247E8">
      <w:r>
        <w:separator/>
      </w:r>
    </w:p>
  </w:endnote>
  <w:endnote w:type="continuationSeparator" w:id="0">
    <w:p w:rsidR="00C247E8" w:rsidRDefault="00C247E8" w:rsidP="00C2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E8" w:rsidRDefault="00C247E8" w:rsidP="00C247E8">
      <w:r>
        <w:separator/>
      </w:r>
    </w:p>
  </w:footnote>
  <w:footnote w:type="continuationSeparator" w:id="0">
    <w:p w:rsidR="00C247E8" w:rsidRDefault="00C247E8" w:rsidP="00C247E8">
      <w:r>
        <w:continuationSeparator/>
      </w:r>
    </w:p>
  </w:footnote>
  <w:footnote w:id="1">
    <w:p w:rsidR="00C247E8" w:rsidRPr="006E0199" w:rsidRDefault="00C247E8" w:rsidP="00C247E8">
      <w:pPr>
        <w:pStyle w:val="a4"/>
        <w:rPr>
          <w:color w:val="000000" w:themeColor="text1"/>
        </w:rPr>
      </w:pPr>
      <w:r w:rsidRPr="006E0199">
        <w:rPr>
          <w:rStyle w:val="a6"/>
          <w:color w:val="000000" w:themeColor="text1"/>
        </w:rPr>
        <w:footnoteRef/>
      </w:r>
      <w:r w:rsidRPr="006E0199">
        <w:rPr>
          <w:color w:val="000000" w:themeColor="text1"/>
        </w:rPr>
        <w:t xml:space="preserve"> Для договоров (контрактов), сведения по которым не размещались в ЕИС должны быть предоставлены документы, подтверждающие факт взаиморасчетов.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DB"/>
    <w:rsid w:val="001A32D3"/>
    <w:rsid w:val="00487068"/>
    <w:rsid w:val="00972B9E"/>
    <w:rsid w:val="00976F71"/>
    <w:rsid w:val="00C247E8"/>
    <w:rsid w:val="00C337DB"/>
    <w:rsid w:val="00F2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64C23-A9F3-4160-8F6B-DBCD159C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7E8"/>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C247E8"/>
    <w:rPr>
      <w:sz w:val="20"/>
      <w:szCs w:val="20"/>
    </w:rPr>
  </w:style>
  <w:style w:type="character" w:customStyle="1" w:styleId="a5">
    <w:name w:val="Текст сноски Знак"/>
    <w:basedOn w:val="a0"/>
    <w:link w:val="a4"/>
    <w:uiPriority w:val="99"/>
    <w:semiHidden/>
    <w:rsid w:val="00C247E8"/>
    <w:rPr>
      <w:rFonts w:ascii="Times New Roman" w:eastAsia="Times New Roman" w:hAnsi="Times New Roman" w:cs="Times New Roman"/>
      <w:sz w:val="20"/>
      <w:szCs w:val="20"/>
      <w:lang w:eastAsia="ar-SA"/>
    </w:rPr>
  </w:style>
  <w:style w:type="character" w:styleId="a6">
    <w:name w:val="footnote reference"/>
    <w:basedOn w:val="a0"/>
    <w:uiPriority w:val="99"/>
    <w:semiHidden/>
    <w:unhideWhenUsed/>
    <w:rsid w:val="00C247E8"/>
    <w:rPr>
      <w:vertAlign w:val="superscript"/>
    </w:rPr>
  </w:style>
  <w:style w:type="paragraph" w:styleId="a7">
    <w:name w:val="List Paragraph"/>
    <w:basedOn w:val="a"/>
    <w:link w:val="a8"/>
    <w:qFormat/>
    <w:rsid w:val="00C247E8"/>
    <w:pPr>
      <w:ind w:left="720"/>
      <w:contextualSpacing/>
    </w:pPr>
  </w:style>
  <w:style w:type="paragraph" w:styleId="a9">
    <w:name w:val="No Spacing"/>
    <w:link w:val="aa"/>
    <w:uiPriority w:val="1"/>
    <w:qFormat/>
    <w:rsid w:val="00C247E8"/>
    <w:pPr>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Абзац списка Знак"/>
    <w:basedOn w:val="a0"/>
    <w:link w:val="a7"/>
    <w:rsid w:val="00C247E8"/>
    <w:rPr>
      <w:rFonts w:ascii="Times New Roman" w:eastAsia="Times New Roman" w:hAnsi="Times New Roman" w:cs="Times New Roman"/>
      <w:sz w:val="24"/>
      <w:szCs w:val="24"/>
      <w:lang w:eastAsia="ar-SA"/>
    </w:rPr>
  </w:style>
  <w:style w:type="character" w:customStyle="1" w:styleId="aa">
    <w:name w:val="Без интервала Знак"/>
    <w:link w:val="a9"/>
    <w:uiPriority w:val="1"/>
    <w:rsid w:val="00C247E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B886ED4AE08CFE5EDCC37FF75A73D9442707752176B0DC4A0D1E81D02125088B3D57A60B4585A658ED6F948EB09A4D11A75258CBB41En0I" TargetMode="External"/><Relationship Id="rId13" Type="http://schemas.openxmlformats.org/officeDocument/2006/relationships/hyperlink" Target="consultantplus://offline/ref=B5B886ED4AE08CFE5EDCC37FF75A73D9442707752176B0DC4A0D1E81D0212508993D0FAA0B4693AD0DA229C1811Bn3I"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B5B886ED4AE08CFE5EDCC37FF75A73D9442707752176B0DC4A0D1E81D02125088B3D57A60B4585A658ED6F948EB09A4D11A75258CBB41En0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consultantplus://offline/ref=B5B886ED4AE08CFE5EDCC37FF75A73D9442707752176B0DC4A0D1E81D0212508993D0FAA0B4693AD0DA229C1811Bn3I" TargetMode="External"/><Relationship Id="rId4" Type="http://schemas.openxmlformats.org/officeDocument/2006/relationships/webSettings" Target="webSettings.xml"/><Relationship Id="rId9" Type="http://schemas.openxmlformats.org/officeDocument/2006/relationships/hyperlink" Target="consultantplus://offline/ref=B5B886ED4AE08CFE5EDCC37FF75A73D9442707752176B0DC4A0D1E81D02125088B3D57A60B4585A658ED6F948EB09A4D11A75258CBB41En0I"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3286</Words>
  <Characters>18732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21975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Кизилова Татьяна Анатольевна</dc:creator>
  <cp:keywords/>
  <dc:description/>
  <cp:lastModifiedBy>Сигаева Лилия Александровна</cp:lastModifiedBy>
  <cp:revision>5</cp:revision>
  <dcterms:created xsi:type="dcterms:W3CDTF">2022-01-25T10:56:00Z</dcterms:created>
  <dcterms:modified xsi:type="dcterms:W3CDTF">2022-01-25T13:29:00Z</dcterms:modified>
</cp:coreProperties>
</file>