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C" w:rsidRDefault="00B648FC" w:rsidP="001755A6">
      <w:pPr>
        <w:rPr>
          <w:rFonts w:eastAsia="Calibri"/>
          <w:b/>
          <w:lang w:eastAsia="en-US"/>
        </w:rPr>
      </w:pPr>
    </w:p>
    <w:p w:rsidR="00E813CA" w:rsidRPr="00A4102F" w:rsidRDefault="00E813CA" w:rsidP="00E813CA">
      <w:pPr>
        <w:jc w:val="center"/>
        <w:rPr>
          <w:rFonts w:eastAsia="Calibri"/>
          <w:b/>
          <w:lang w:eastAsia="en-US"/>
        </w:rPr>
      </w:pPr>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250D51" w:rsidRDefault="00E813CA" w:rsidP="00E03095">
            <w:pPr>
              <w:autoSpaceDE w:val="0"/>
              <w:autoSpaceDN w:val="0"/>
              <w:jc w:val="center"/>
              <w:outlineLvl w:val="2"/>
              <w:rPr>
                <w:b/>
              </w:rPr>
            </w:pPr>
            <w:r w:rsidRPr="00A4102F">
              <w:rPr>
                <w:rFonts w:eastAsia="Calibri"/>
                <w:bCs/>
                <w:lang w:eastAsia="en-US"/>
              </w:rPr>
              <w:br/>
            </w:r>
            <w:r w:rsidRPr="00250D51">
              <w:rPr>
                <w:b/>
              </w:rPr>
              <w:t xml:space="preserve">I. Информация о заказчике и закупке товаров, работ, услуг для обеспечения государственных и муниципальных </w:t>
            </w:r>
            <w:r w:rsidR="001C54DB" w:rsidRPr="00250D51">
              <w:rPr>
                <w:b/>
              </w:rPr>
              <w:t>нужд (</w:t>
            </w:r>
            <w:r w:rsidRPr="00250D51">
              <w:rPr>
                <w:b/>
              </w:rPr>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9B23E0">
              <w:rPr>
                <w:rFonts w:ascii="PT Astra Serif" w:hAnsi="PT Astra Serif" w:cs="Calibri"/>
                <w:bCs/>
              </w:rPr>
              <w:t>Тамбовское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9B23E0" w:rsidP="00E03095">
            <w:pPr>
              <w:autoSpaceDE w:val="0"/>
              <w:autoSpaceDN w:val="0"/>
              <w:jc w:val="center"/>
              <w:rPr>
                <w:rFonts w:ascii="PT Astra Serif" w:hAnsi="PT Astra Serif"/>
              </w:rPr>
            </w:pPr>
            <w:r w:rsidRPr="009B23E0">
              <w:t>6832021420</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9B23E0" w:rsidP="00E03095">
            <w:pPr>
              <w:autoSpaceDE w:val="0"/>
              <w:autoSpaceDN w:val="0"/>
              <w:jc w:val="center"/>
              <w:rPr>
                <w:rFonts w:ascii="PT Astra Serif" w:hAnsi="PT Astra Serif"/>
              </w:rPr>
            </w:pPr>
            <w:r w:rsidRPr="009B23E0">
              <w:t>682901001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D6824" w:rsidRPr="00A4102F" w:rsidRDefault="009B23E0" w:rsidP="00E03095">
            <w:pPr>
              <w:autoSpaceDE w:val="0"/>
              <w:autoSpaceDN w:val="0"/>
              <w:rPr>
                <w:bCs/>
              </w:rPr>
            </w:pPr>
            <w:r>
              <w:t>392000</w:t>
            </w:r>
            <w:r w:rsidR="000D6824" w:rsidRPr="00A4102F">
              <w:rPr>
                <w:lang w:eastAsia="ar-SA"/>
              </w:rPr>
              <w:t xml:space="preserve">, г. </w:t>
            </w:r>
            <w:r>
              <w:rPr>
                <w:lang w:eastAsia="ar-SA"/>
              </w:rPr>
              <w:t>Тамбов</w:t>
            </w:r>
            <w:r w:rsidR="000D6824" w:rsidRPr="00A4102F">
              <w:rPr>
                <w:lang w:eastAsia="ar-SA"/>
              </w:rPr>
              <w:t xml:space="preserve">, </w:t>
            </w:r>
            <w:r>
              <w:rPr>
                <w:lang w:eastAsia="ar-SA"/>
              </w:rPr>
              <w:t>проезд Новый</w:t>
            </w:r>
            <w:r w:rsidR="00F35CDB">
              <w:rPr>
                <w:lang w:eastAsia="ar-SA"/>
              </w:rPr>
              <w:t xml:space="preserve">, </w:t>
            </w:r>
            <w:r>
              <w:rPr>
                <w:lang w:eastAsia="ar-SA"/>
              </w:rPr>
              <w:t>д. 1</w:t>
            </w:r>
            <w:r w:rsidR="00E813CA" w:rsidRPr="00A4102F">
              <w:rPr>
                <w:bCs/>
              </w:rPr>
              <w:t xml:space="preserve"> </w:t>
            </w:r>
          </w:p>
          <w:p w:rsidR="000D6824" w:rsidRPr="00A4102F" w:rsidRDefault="000D6824" w:rsidP="000D6824">
            <w:pPr>
              <w:suppressAutoHyphens/>
              <w:contextualSpacing/>
              <w:rPr>
                <w:lang w:eastAsia="ar-SA"/>
              </w:rPr>
            </w:pPr>
            <w:r w:rsidRPr="00A4102F">
              <w:rPr>
                <w:lang w:eastAsia="ar-SA"/>
              </w:rPr>
              <w:t xml:space="preserve">тел/факс: </w:t>
            </w:r>
            <w:r w:rsidR="00F35CDB" w:rsidRPr="00D96FB0">
              <w:rPr>
                <w:bCs/>
              </w:rPr>
              <w:t>(</w:t>
            </w:r>
            <w:r w:rsidR="00D84A23">
              <w:rPr>
                <w:bCs/>
              </w:rPr>
              <w:t>4752</w:t>
            </w:r>
            <w:r w:rsidR="00F35CDB" w:rsidRPr="00D96FB0">
              <w:rPr>
                <w:bCs/>
              </w:rPr>
              <w:t xml:space="preserve">) </w:t>
            </w:r>
            <w:r w:rsidR="00D84A23">
              <w:rPr>
                <w:bCs/>
              </w:rPr>
              <w:t>577-021</w:t>
            </w:r>
          </w:p>
          <w:p w:rsidR="00E813CA" w:rsidRPr="001755A6" w:rsidRDefault="00F35CDB" w:rsidP="001755A6">
            <w:pPr>
              <w:suppressAutoHyphens/>
              <w:contextualSpacing/>
              <w:rPr>
                <w:lang w:val="en-US"/>
              </w:rPr>
            </w:pPr>
            <w:r>
              <w:rPr>
                <w:lang w:val="en-US" w:eastAsia="ar-SA"/>
              </w:rPr>
              <w:t>E</w:t>
            </w:r>
            <w:r w:rsidRPr="001755A6">
              <w:rPr>
                <w:lang w:val="en-US" w:eastAsia="ar-SA"/>
              </w:rPr>
              <w:t>-</w:t>
            </w:r>
            <w:r>
              <w:rPr>
                <w:lang w:val="en-US" w:eastAsia="ar-SA"/>
              </w:rPr>
              <w:t>mail</w:t>
            </w:r>
            <w:r w:rsidRPr="001755A6">
              <w:rPr>
                <w:lang w:val="en-US" w:eastAsia="ar-SA"/>
              </w:rPr>
              <w:t xml:space="preserve">: </w:t>
            </w:r>
            <w:hyperlink r:id="rId8" w:history="1">
              <w:r w:rsidR="001755A6" w:rsidRPr="00F068AA">
                <w:rPr>
                  <w:rStyle w:val="a6"/>
                  <w:lang w:val="en-US" w:eastAsia="ar-SA"/>
                </w:rPr>
                <w:t>info</w:t>
              </w:r>
              <w:r w:rsidR="001755A6" w:rsidRPr="001755A6">
                <w:rPr>
                  <w:rStyle w:val="a6"/>
                  <w:lang w:val="en-US" w:eastAsia="ar-SA"/>
                </w:rPr>
                <w:t>@</w:t>
              </w:r>
              <w:r w:rsidR="001755A6" w:rsidRPr="00F068AA">
                <w:rPr>
                  <w:rStyle w:val="a6"/>
                  <w:lang w:val="en-US" w:eastAsia="ar-SA"/>
                </w:rPr>
                <w:t>ro</w:t>
              </w:r>
              <w:r w:rsidR="001755A6" w:rsidRPr="001755A6">
                <w:rPr>
                  <w:rStyle w:val="a6"/>
                  <w:lang w:val="en-US" w:eastAsia="ar-SA"/>
                </w:rPr>
                <w:t>68.</w:t>
              </w:r>
              <w:r w:rsidR="001755A6" w:rsidRPr="00F068AA">
                <w:rPr>
                  <w:rStyle w:val="a6"/>
                  <w:lang w:val="en-US" w:eastAsia="ar-SA"/>
                </w:rPr>
                <w:t>fss</w:t>
              </w:r>
              <w:r w:rsidR="001755A6" w:rsidRPr="001755A6">
                <w:rPr>
                  <w:rStyle w:val="a6"/>
                  <w:lang w:val="en-US" w:eastAsia="ar-SA"/>
                </w:rPr>
                <w:t>.</w:t>
              </w:r>
              <w:r w:rsidR="001755A6" w:rsidRPr="00F068AA">
                <w:rPr>
                  <w:rStyle w:val="a6"/>
                  <w:lang w:val="en-US" w:eastAsia="ar-SA"/>
                </w:rPr>
                <w:t>ru</w:t>
              </w:r>
            </w:hyperlink>
            <w:r w:rsidRPr="001755A6">
              <w:rPr>
                <w:lang w:val="en-US" w:eastAsia="ar-SA"/>
              </w:rPr>
              <w:t xml:space="preserve">, </w:t>
            </w:r>
            <w:hyperlink r:id="rId9" w:history="1">
              <w:r w:rsidR="001755A6" w:rsidRPr="00F068AA">
                <w:rPr>
                  <w:rStyle w:val="a6"/>
                  <w:lang w:val="en-US"/>
                </w:rPr>
                <w:t>torgi@ro68.fss.ru</w:t>
              </w:r>
            </w:hyperlink>
            <w:r w:rsidR="000D6824" w:rsidRPr="001755A6">
              <w:rPr>
                <w:lang w:val="en-US"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9B23E0" w:rsidP="00A159AA">
            <w:pPr>
              <w:autoSpaceDE w:val="0"/>
              <w:autoSpaceDN w:val="0"/>
              <w:jc w:val="center"/>
              <w:rPr>
                <w:rFonts w:ascii="PT Astra Serif" w:hAnsi="PT Astra Serif"/>
              </w:rPr>
            </w:pPr>
            <w:r w:rsidRPr="009B23E0">
              <w:rPr>
                <w:rFonts w:ascii="PT Astra Serif" w:hAnsi="PT Astra Serif" w:cs="Calibri"/>
              </w:rPr>
              <w:t>68701000001</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4917EA" w:rsidRDefault="004917EA" w:rsidP="009B23E0">
            <w:pPr>
              <w:autoSpaceDE w:val="0"/>
              <w:autoSpaceDN w:val="0"/>
              <w:rPr>
                <w:rFonts w:ascii="PT Astra Serif" w:hAnsi="PT Astra Serif"/>
              </w:rPr>
            </w:pPr>
            <w:r>
              <w:rPr>
                <w:szCs w:val="22"/>
              </w:rPr>
              <w:t>В</w:t>
            </w:r>
            <w:r w:rsidRPr="004917EA">
              <w:rPr>
                <w:szCs w:val="22"/>
              </w:rPr>
              <w:t>ыполнение работ по изготовлению протеза предплечья с микропроцессорным управлением</w:t>
            </w:r>
          </w:p>
        </w:tc>
      </w:tr>
    </w:tbl>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Default="00E813CA" w:rsidP="00E813CA">
      <w:pPr>
        <w:rPr>
          <w:rFonts w:eastAsia="Calibri"/>
          <w:b/>
          <w:bCs/>
          <w:color w:val="FF0000"/>
          <w:lang w:eastAsia="en-US"/>
        </w:rPr>
      </w:pPr>
    </w:p>
    <w:p w:rsidR="001755A6" w:rsidRDefault="001755A6" w:rsidP="00E813CA">
      <w:pPr>
        <w:rPr>
          <w:rFonts w:eastAsia="Calibri"/>
          <w:b/>
          <w:bCs/>
          <w:color w:val="FF0000"/>
          <w:lang w:eastAsia="en-US"/>
        </w:rPr>
      </w:pPr>
    </w:p>
    <w:p w:rsidR="001755A6" w:rsidRPr="00A4102F" w:rsidRDefault="001755A6" w:rsidP="00E813CA">
      <w:pPr>
        <w:rPr>
          <w:rFonts w:eastAsia="Calibri"/>
          <w:b/>
          <w:bCs/>
          <w:color w:val="FF0000"/>
          <w:lang w:eastAsia="en-US"/>
        </w:rPr>
      </w:pPr>
    </w:p>
    <w:p w:rsidR="00E813CA" w:rsidRPr="00250D51" w:rsidRDefault="00E813CA" w:rsidP="00250D51">
      <w:pPr>
        <w:jc w:val="center"/>
        <w:rPr>
          <w:rFonts w:eastAsia="Calibri"/>
          <w:b/>
          <w:bCs/>
          <w:lang w:eastAsia="en-US"/>
        </w:rPr>
      </w:pPr>
      <w:r w:rsidRPr="00250D51">
        <w:rPr>
          <w:rFonts w:eastAsia="Calibri"/>
          <w:b/>
          <w:bCs/>
          <w:lang w:eastAsia="en-US"/>
        </w:rPr>
        <w:lastRenderedPageBreak/>
        <w:t>II. Критерии и показатели оценки заявок на участие в закупке</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59"/>
        <w:gridCol w:w="1418"/>
        <w:gridCol w:w="1276"/>
        <w:gridCol w:w="1701"/>
        <w:gridCol w:w="1701"/>
        <w:gridCol w:w="6237"/>
      </w:tblGrid>
      <w:tr w:rsidR="0021125F" w:rsidRPr="00250D51" w:rsidTr="00217E9F">
        <w:trPr>
          <w:cantSplit/>
          <w:trHeight w:val="1136"/>
        </w:trPr>
        <w:tc>
          <w:tcPr>
            <w:tcW w:w="42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Критерии оценки</w:t>
            </w:r>
          </w:p>
        </w:tc>
        <w:tc>
          <w:tcPr>
            <w:tcW w:w="1559" w:type="dxa"/>
            <w:shd w:val="clear" w:color="auto" w:fill="auto"/>
          </w:tcPr>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Значимость критерия оценки,</w:t>
            </w:r>
          </w:p>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процентов</w:t>
            </w:r>
          </w:p>
        </w:tc>
        <w:tc>
          <w:tcPr>
            <w:tcW w:w="1418"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Показатель оценки</w:t>
            </w:r>
          </w:p>
        </w:tc>
        <w:tc>
          <w:tcPr>
            <w:tcW w:w="1276" w:type="dxa"/>
            <w:shd w:val="clear" w:color="auto" w:fill="auto"/>
          </w:tcPr>
          <w:p w:rsidR="00E813CA" w:rsidRPr="00250D51" w:rsidRDefault="00E813CA" w:rsidP="00250D51">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оценки,</w:t>
            </w:r>
          </w:p>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процентов</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Показатели оценки, детализирующие показатель оценки</w:t>
            </w:r>
          </w:p>
        </w:tc>
        <w:tc>
          <w:tcPr>
            <w:tcW w:w="1701" w:type="dxa"/>
            <w:shd w:val="clear" w:color="auto" w:fill="auto"/>
          </w:tcPr>
          <w:p w:rsidR="00E813CA" w:rsidRPr="00250D51" w:rsidRDefault="00E813CA" w:rsidP="00B648FC">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детализирующего показател</w:t>
            </w:r>
            <w:r w:rsidR="00B648FC" w:rsidRPr="00250D51">
              <w:rPr>
                <w:rFonts w:eastAsia="Calibri"/>
                <w:bCs/>
                <w:sz w:val="20"/>
                <w:szCs w:val="20"/>
                <w:lang w:eastAsia="en-US"/>
              </w:rPr>
              <w:t>я</w:t>
            </w:r>
            <w:r w:rsidRPr="00250D51">
              <w:rPr>
                <w:rFonts w:eastAsia="Calibri"/>
                <w:bCs/>
                <w:sz w:val="20"/>
                <w:szCs w:val="20"/>
                <w:lang w:eastAsia="en-US"/>
              </w:rPr>
              <w:t xml:space="preserve"> оценки, Баллов</w:t>
            </w:r>
          </w:p>
        </w:tc>
        <w:tc>
          <w:tcPr>
            <w:tcW w:w="6237"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Формула оценки или шкала оценки</w:t>
            </w:r>
          </w:p>
        </w:tc>
      </w:tr>
      <w:tr w:rsidR="00E2150D" w:rsidRPr="00250D51" w:rsidTr="00217E9F">
        <w:tc>
          <w:tcPr>
            <w:tcW w:w="426" w:type="dxa"/>
            <w:shd w:val="clear" w:color="auto" w:fill="auto"/>
          </w:tcPr>
          <w:p w:rsidR="00E813CA" w:rsidRPr="00250D51" w:rsidRDefault="00E813CA" w:rsidP="00E03095">
            <w:pPr>
              <w:rPr>
                <w:rFonts w:eastAsia="Calibri"/>
                <w:bCs/>
                <w:sz w:val="20"/>
                <w:szCs w:val="20"/>
                <w:lang w:eastAsia="en-US"/>
              </w:rPr>
            </w:pPr>
            <w:r w:rsidRPr="00250D51">
              <w:rPr>
                <w:rFonts w:eastAsia="Calibri"/>
                <w:bCs/>
                <w:sz w:val="20"/>
                <w:szCs w:val="20"/>
                <w:lang w:eastAsia="en-US"/>
              </w:rPr>
              <w:t>1.</w:t>
            </w:r>
          </w:p>
        </w:tc>
        <w:tc>
          <w:tcPr>
            <w:tcW w:w="1701" w:type="dxa"/>
            <w:shd w:val="clear" w:color="auto" w:fill="auto"/>
          </w:tcPr>
          <w:p w:rsidR="00E813CA" w:rsidRPr="00250D51" w:rsidRDefault="00E813CA" w:rsidP="00C02CB4">
            <w:pPr>
              <w:jc w:val="center"/>
              <w:rPr>
                <w:rFonts w:eastAsia="Calibri"/>
                <w:bCs/>
                <w:sz w:val="20"/>
                <w:szCs w:val="20"/>
                <w:lang w:eastAsia="en-US"/>
              </w:rPr>
            </w:pPr>
            <w:r w:rsidRPr="00250D51">
              <w:rPr>
                <w:rFonts w:eastAsia="Calibri"/>
                <w:bCs/>
                <w:sz w:val="20"/>
                <w:szCs w:val="20"/>
                <w:lang w:eastAsia="en-US"/>
              </w:rPr>
              <w:t>Цена контракта, сумма цен единиц товара, работы, услуги</w:t>
            </w:r>
          </w:p>
        </w:tc>
        <w:tc>
          <w:tcPr>
            <w:tcW w:w="1559"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60</w:t>
            </w:r>
          </w:p>
        </w:tc>
        <w:tc>
          <w:tcPr>
            <w:tcW w:w="1418"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27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E813CA" w:rsidRPr="00250D51" w:rsidRDefault="00E813CA" w:rsidP="00E03095">
            <w:pPr>
              <w:autoSpaceDE w:val="0"/>
              <w:autoSpaceDN w:val="0"/>
              <w:adjustRightInd w:val="0"/>
              <w:jc w:val="both"/>
              <w:rPr>
                <w:rFonts w:eastAsia="Calibri"/>
                <w:bCs/>
                <w:sz w:val="20"/>
                <w:szCs w:val="20"/>
                <w:lang w:eastAsia="en-US"/>
              </w:rPr>
            </w:pPr>
            <w:r w:rsidRPr="00250D51">
              <w:rPr>
                <w:rFonts w:ascii="PT Astra Serif" w:hAnsi="PT Astra Serif" w:cs="PT Astra Serif"/>
                <w:sz w:val="20"/>
                <w:szCs w:val="20"/>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250D51">
              <w:rPr>
                <w:rFonts w:ascii="PT Astra Serif" w:hAnsi="PT Astra Serif" w:cs="PT Astra Serif"/>
                <w:sz w:val="20"/>
                <w:szCs w:val="20"/>
                <w:vertAlign w:val="subscript"/>
              </w:rPr>
              <w:t>i</w:t>
            </w:r>
            <w:r w:rsidRPr="00250D51">
              <w:rPr>
                <w:rFonts w:ascii="PT Astra Serif" w:hAnsi="PT Astra Serif" w:cs="PT Astra Serif"/>
                <w:sz w:val="20"/>
                <w:szCs w:val="20"/>
              </w:rPr>
              <w:t>) определяется по формуле:</w:t>
            </w:r>
          </w:p>
          <w:p w:rsidR="00E813CA" w:rsidRPr="00250D51" w:rsidRDefault="00E813CA" w:rsidP="00FE7504">
            <w:pPr>
              <w:ind w:firstLine="317"/>
              <w:rPr>
                <w:rFonts w:eastAsia="Calibri"/>
                <w:bCs/>
                <w:sz w:val="20"/>
                <w:szCs w:val="20"/>
                <w:lang w:eastAsia="en-US"/>
              </w:rPr>
            </w:pPr>
            <w:r w:rsidRPr="00250D51">
              <w:rPr>
                <w:rFonts w:eastAsia="Calibri"/>
                <w:position w:val="-28"/>
                <w:sz w:val="20"/>
                <w:szCs w:val="20"/>
                <w:lang w:eastAsia="en-US"/>
              </w:rPr>
              <w:t xml:space="preserve"> </w:t>
            </w:r>
            <w:r w:rsidR="00FE7504" w:rsidRPr="00250D51">
              <w:rPr>
                <w:rFonts w:eastAsia="Calibri"/>
                <w:noProof/>
                <w:position w:val="-28"/>
                <w:sz w:val="20"/>
                <w:szCs w:val="20"/>
              </w:rPr>
              <w:t xml:space="preserve"> </w:t>
            </w:r>
            <w:r w:rsidRPr="00250D51">
              <w:rPr>
                <w:rFonts w:eastAsia="Calibri"/>
                <w:noProof/>
                <w:position w:val="-28"/>
                <w:sz w:val="20"/>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где: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sidRPr="00250D51">
              <w:rPr>
                <w:rFonts w:eastAsia="Calibri"/>
                <w:bCs/>
                <w:sz w:val="20"/>
                <w:szCs w:val="20"/>
                <w:lang w:eastAsia="en-US"/>
              </w:rPr>
              <w:t xml:space="preserve">  </w:t>
            </w:r>
            <w:r w:rsidRPr="00250D51">
              <w:rPr>
                <w:rFonts w:eastAsia="Calibri"/>
                <w:bCs/>
                <w:sz w:val="20"/>
                <w:szCs w:val="20"/>
                <w:lang w:eastAsia="en-US"/>
              </w:rPr>
              <w:t>Ц</w:t>
            </w:r>
            <w:r w:rsidRPr="00250D51">
              <w:rPr>
                <w:rFonts w:eastAsia="Calibri"/>
                <w:bCs/>
                <w:sz w:val="20"/>
                <w:szCs w:val="20"/>
                <w:vertAlign w:val="subscript"/>
                <w:lang w:val="en-US" w:eastAsia="en-US"/>
              </w:rPr>
              <w:t>I</w:t>
            </w:r>
            <w:r w:rsidRPr="00250D51">
              <w:rPr>
                <w:rFonts w:eastAsia="Calibri"/>
                <w:bCs/>
                <w:sz w:val="20"/>
                <w:szCs w:val="20"/>
                <w:vertAlign w:val="subscript"/>
                <w:lang w:eastAsia="en-US"/>
              </w:rPr>
              <w:t xml:space="preserve"> -</w:t>
            </w:r>
            <w:r w:rsidRPr="00250D51">
              <w:rPr>
                <w:rFonts w:eastAsia="Calibri"/>
                <w:bCs/>
                <w:sz w:val="20"/>
                <w:szCs w:val="20"/>
                <w:lang w:eastAsia="en-US"/>
              </w:rPr>
              <w:t xml:space="preserve"> предложение участника закупки о цене контракта</w:t>
            </w:r>
            <w:r w:rsidR="008E70E0" w:rsidRPr="00250D51">
              <w:rPr>
                <w:rFonts w:eastAsia="Calibri"/>
                <w:bCs/>
                <w:sz w:val="20"/>
                <w:szCs w:val="20"/>
                <w:lang w:eastAsia="en-US"/>
              </w:rPr>
              <w:t xml:space="preserve"> </w:t>
            </w:r>
            <w:r w:rsidRPr="00250D51">
              <w:rPr>
                <w:rFonts w:eastAsia="Calibri"/>
                <w:bCs/>
                <w:sz w:val="20"/>
                <w:szCs w:val="20"/>
                <w:lang w:eastAsia="en-US"/>
              </w:rPr>
              <w:t>(далее - ценовое предложение);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50D51">
              <w:rPr>
                <w:rFonts w:eastAsia="Calibri"/>
                <w:bCs/>
                <w:sz w:val="20"/>
                <w:szCs w:val="20"/>
                <w:lang w:eastAsia="en-US"/>
              </w:rPr>
              <w:t xml:space="preserve"> Ц</w:t>
            </w:r>
            <w:r w:rsidRPr="00250D51">
              <w:rPr>
                <w:rFonts w:eastAsia="Calibri"/>
                <w:bCs/>
                <w:sz w:val="20"/>
                <w:szCs w:val="20"/>
                <w:vertAlign w:val="subscript"/>
                <w:lang w:eastAsia="en-US"/>
              </w:rPr>
              <w:t>Л</w:t>
            </w:r>
            <w:r w:rsidRPr="00250D51">
              <w:rPr>
                <w:rFonts w:eastAsia="Calibri"/>
                <w:bCs/>
                <w:sz w:val="20"/>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50D51" w:rsidRDefault="00E813CA" w:rsidP="00E03095">
            <w:pPr>
              <w:rPr>
                <w:rFonts w:eastAsia="Calibri"/>
                <w:bCs/>
                <w:sz w:val="20"/>
                <w:szCs w:val="20"/>
                <w:lang w:eastAsia="en-US"/>
              </w:rPr>
            </w:pP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r w:rsidRPr="00250D51">
              <w:rPr>
                <w:rFonts w:eastAsia="Calibri"/>
                <w:bCs/>
                <w:sz w:val="20"/>
                <w:szCs w:val="20"/>
                <w:vertAlign w:val="subscript"/>
                <w:lang w:val="en-US" w:eastAsia="en-US"/>
              </w:rPr>
              <w:t>i</w:t>
            </w:r>
            <w:r w:rsidRPr="00250D51">
              <w:rPr>
                <w:rFonts w:eastAsia="Calibri"/>
                <w:bCs/>
                <w:sz w:val="20"/>
                <w:szCs w:val="20"/>
                <w:lang w:eastAsia="en-US"/>
              </w:rPr>
              <w:t>) определяется в следующем порядке:</w:t>
            </w: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r w:rsidRPr="00250D51">
              <w:rPr>
                <w:rFonts w:eastAsia="Calibri"/>
                <w:bCs/>
                <w:sz w:val="20"/>
                <w:szCs w:val="20"/>
                <w:lang w:eastAsia="en-US"/>
              </w:rPr>
              <w:t>,</w:t>
            </w:r>
          </w:p>
          <w:p w:rsidR="00E813CA" w:rsidRPr="00250D51" w:rsidRDefault="00E813CA" w:rsidP="00FE7504">
            <w:pPr>
              <w:ind w:firstLine="459"/>
              <w:rPr>
                <w:rFonts w:eastAsia="Calibri"/>
                <w:bCs/>
                <w:sz w:val="20"/>
                <w:szCs w:val="20"/>
                <w:lang w:eastAsia="en-US"/>
              </w:rPr>
            </w:pPr>
            <w:r w:rsidRPr="00250D51">
              <w:rPr>
                <w:rFonts w:eastAsia="Calibri"/>
                <w:noProof/>
                <w:position w:val="-28"/>
                <w:sz w:val="20"/>
                <w:szCs w:val="20"/>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Pr="00250D51" w:rsidRDefault="00E813CA" w:rsidP="00FE7504">
            <w:pPr>
              <w:autoSpaceDE w:val="0"/>
              <w:autoSpaceDN w:val="0"/>
              <w:adjustRightInd w:val="0"/>
              <w:ind w:firstLine="459"/>
              <w:jc w:val="both"/>
              <w:rPr>
                <w:sz w:val="20"/>
                <w:szCs w:val="20"/>
              </w:rPr>
            </w:pPr>
            <w:r w:rsidRPr="00250D51">
              <w:rPr>
                <w:sz w:val="20"/>
                <w:szCs w:val="20"/>
              </w:rPr>
              <w:t xml:space="preserve"> где </w:t>
            </w:r>
          </w:p>
          <w:p w:rsidR="00E813CA" w:rsidRPr="00250D51" w:rsidRDefault="00E813CA" w:rsidP="00FE7504">
            <w:pPr>
              <w:autoSpaceDE w:val="0"/>
              <w:autoSpaceDN w:val="0"/>
              <w:adjustRightInd w:val="0"/>
              <w:ind w:firstLine="459"/>
              <w:jc w:val="both"/>
              <w:rPr>
                <w:sz w:val="20"/>
                <w:szCs w:val="20"/>
              </w:rPr>
            </w:pPr>
            <w:r w:rsidRPr="00250D51">
              <w:rPr>
                <w:sz w:val="20"/>
                <w:szCs w:val="20"/>
              </w:rPr>
              <w:t>Ц</w:t>
            </w:r>
            <w:r w:rsidRPr="00250D51">
              <w:rPr>
                <w:sz w:val="20"/>
                <w:szCs w:val="20"/>
                <w:vertAlign w:val="subscript"/>
              </w:rPr>
              <w:t>нач</w:t>
            </w:r>
            <w:r w:rsidRPr="00250D51">
              <w:rPr>
                <w:sz w:val="20"/>
                <w:szCs w:val="20"/>
              </w:rPr>
              <w:t xml:space="preserve"> - начальная (максимальная) цена контракта;</w:t>
            </w:r>
          </w:p>
          <w:p w:rsidR="00E813CA" w:rsidRPr="00250D51" w:rsidRDefault="00E813CA" w:rsidP="00E03095">
            <w:pPr>
              <w:rPr>
                <w:rFonts w:eastAsia="Calibri"/>
                <w:bCs/>
                <w:sz w:val="20"/>
                <w:szCs w:val="20"/>
                <w:lang w:eastAsia="en-US"/>
              </w:rPr>
            </w:pPr>
          </w:p>
          <w:p w:rsidR="00E813CA" w:rsidRPr="00250D51" w:rsidRDefault="00E813CA" w:rsidP="00E03095">
            <w:pPr>
              <w:rPr>
                <w:rFonts w:eastAsia="Calibri"/>
                <w:bCs/>
                <w:sz w:val="20"/>
                <w:szCs w:val="20"/>
                <w:lang w:eastAsia="en-US"/>
              </w:rPr>
            </w:pPr>
            <w:r w:rsidRPr="00250D51">
              <w:rPr>
                <w:rFonts w:eastAsia="Calibri"/>
                <w:bCs/>
                <w:sz w:val="20"/>
                <w:szCs w:val="20"/>
                <w:lang w:eastAsia="en-US"/>
              </w:rPr>
              <w:lastRenderedPageBreak/>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p>
          <w:p w:rsidR="00E813CA" w:rsidRPr="00250D51" w:rsidRDefault="00E813CA" w:rsidP="00FE7504">
            <w:pPr>
              <w:ind w:firstLine="601"/>
              <w:rPr>
                <w:rFonts w:eastAsia="Calibri"/>
                <w:bCs/>
                <w:sz w:val="20"/>
                <w:szCs w:val="20"/>
                <w:lang w:eastAsia="en-US"/>
              </w:rPr>
            </w:pPr>
            <w:r w:rsidRPr="00250D51">
              <w:rPr>
                <w:rFonts w:eastAsia="Calibri"/>
                <w:noProof/>
                <w:position w:val="-33"/>
                <w:sz w:val="20"/>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50D51" w:rsidRDefault="00E813CA" w:rsidP="00E03095">
            <w:pPr>
              <w:rPr>
                <w:rFonts w:eastAsia="Calibri"/>
                <w:bCs/>
                <w:sz w:val="20"/>
                <w:szCs w:val="20"/>
                <w:lang w:eastAsia="en-US"/>
              </w:rPr>
            </w:pPr>
            <w:r w:rsidRPr="00250D51">
              <w:rPr>
                <w:rFonts w:eastAsia="Calibri"/>
                <w:bCs/>
                <w:sz w:val="20"/>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50D51" w:rsidRDefault="00E813CA" w:rsidP="0026089A">
            <w:pPr>
              <w:ind w:right="-393"/>
              <w:rPr>
                <w:rFonts w:eastAsia="Calibri"/>
                <w:bCs/>
                <w:sz w:val="20"/>
                <w:szCs w:val="20"/>
                <w:lang w:eastAsia="en-US"/>
              </w:rPr>
            </w:pPr>
            <w:r w:rsidRPr="00250D51">
              <w:rPr>
                <w:rFonts w:eastAsia="Calibri"/>
                <w:bCs/>
                <w:sz w:val="20"/>
                <w:szCs w:val="20"/>
                <w:lang w:eastAsia="en-US"/>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250D51" w:rsidTr="00217E9F">
        <w:tc>
          <w:tcPr>
            <w:tcW w:w="426" w:type="dxa"/>
            <w:shd w:val="clear" w:color="auto" w:fill="auto"/>
          </w:tcPr>
          <w:p w:rsidR="00CB6130" w:rsidRPr="00250D51" w:rsidRDefault="00FA3AF2" w:rsidP="00CB6130">
            <w:pPr>
              <w:rPr>
                <w:rFonts w:eastAsia="Calibri"/>
                <w:bCs/>
                <w:sz w:val="20"/>
                <w:szCs w:val="20"/>
                <w:lang w:eastAsia="en-US"/>
              </w:rPr>
            </w:pPr>
            <w:r w:rsidRPr="00250D51">
              <w:rPr>
                <w:rFonts w:eastAsia="Calibri"/>
                <w:bCs/>
                <w:sz w:val="20"/>
                <w:szCs w:val="20"/>
                <w:lang w:eastAsia="en-US"/>
              </w:rPr>
              <w:lastRenderedPageBreak/>
              <w:t>2.</w:t>
            </w:r>
          </w:p>
        </w:tc>
        <w:tc>
          <w:tcPr>
            <w:tcW w:w="1701" w:type="dxa"/>
            <w:shd w:val="clear" w:color="auto" w:fill="auto"/>
          </w:tcPr>
          <w:p w:rsidR="00FA3AF2" w:rsidRPr="00250D51" w:rsidRDefault="00FA3AF2" w:rsidP="00F979FF">
            <w:pPr>
              <w:jc w:val="center"/>
              <w:rPr>
                <w:rFonts w:eastAsia="Calibri"/>
                <w:bCs/>
                <w:sz w:val="20"/>
                <w:szCs w:val="20"/>
                <w:lang w:eastAsia="en-US"/>
              </w:rPr>
            </w:pPr>
            <w:r w:rsidRPr="00250D51">
              <w:rPr>
                <w:rFonts w:eastAsia="Calibri"/>
                <w:bCs/>
                <w:sz w:val="20"/>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250D51" w:rsidRDefault="00FA3AF2" w:rsidP="00F979FF">
            <w:pPr>
              <w:jc w:val="center"/>
              <w:rPr>
                <w:rFonts w:eastAsia="Calibri"/>
                <w:bCs/>
                <w:sz w:val="20"/>
                <w:szCs w:val="20"/>
                <w:lang w:eastAsia="en-US"/>
              </w:rPr>
            </w:pPr>
            <w:r w:rsidRPr="00250D51">
              <w:rPr>
                <w:rFonts w:eastAsia="Calibri"/>
                <w:bCs/>
                <w:sz w:val="20"/>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w:t>
            </w:r>
            <w:r w:rsidRPr="00250D51">
              <w:rPr>
                <w:rFonts w:eastAsia="Calibri"/>
                <w:bCs/>
                <w:sz w:val="20"/>
                <w:szCs w:val="20"/>
                <w:lang w:eastAsia="en-US"/>
              </w:rPr>
              <w:lastRenderedPageBreak/>
              <w:t xml:space="preserve">иных работников определенного уровня </w:t>
            </w:r>
            <w:r w:rsidRPr="00250D51">
              <w:rPr>
                <w:sz w:val="20"/>
                <w:szCs w:val="20"/>
              </w:rPr>
              <w:t>квалификации</w:t>
            </w:r>
          </w:p>
        </w:tc>
        <w:tc>
          <w:tcPr>
            <w:tcW w:w="1559" w:type="dxa"/>
            <w:shd w:val="clear" w:color="auto" w:fill="auto"/>
          </w:tcPr>
          <w:p w:rsidR="00CB6130" w:rsidRPr="00250D51" w:rsidRDefault="00135D21" w:rsidP="00135D21">
            <w:pPr>
              <w:jc w:val="center"/>
              <w:rPr>
                <w:rFonts w:eastAsia="Calibri"/>
                <w:bCs/>
                <w:sz w:val="20"/>
                <w:szCs w:val="20"/>
                <w:lang w:eastAsia="en-US"/>
              </w:rPr>
            </w:pPr>
            <w:r w:rsidRPr="00250D51">
              <w:rPr>
                <w:rFonts w:eastAsia="Calibri"/>
                <w:bCs/>
                <w:sz w:val="20"/>
                <w:szCs w:val="20"/>
                <w:lang w:eastAsia="en-US"/>
              </w:rPr>
              <w:lastRenderedPageBreak/>
              <w:t>40</w:t>
            </w:r>
          </w:p>
        </w:tc>
        <w:tc>
          <w:tcPr>
            <w:tcW w:w="1418" w:type="dxa"/>
            <w:shd w:val="clear" w:color="auto" w:fill="auto"/>
          </w:tcPr>
          <w:p w:rsidR="00CB6130" w:rsidRPr="00250D51" w:rsidRDefault="00CB6130" w:rsidP="00CB6130">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1</w:t>
            </w:r>
            <w:r w:rsidRPr="00250D51">
              <w:rPr>
                <w:rFonts w:eastAsia="Calibri"/>
                <w:bCs/>
                <w:sz w:val="20"/>
                <w:szCs w:val="20"/>
                <w:lang w:eastAsia="en-US"/>
              </w:rPr>
              <w:t>. Наличие у участников закупки специалистов и иных работников определенного уровня квалификации</w:t>
            </w:r>
          </w:p>
          <w:p w:rsidR="00CB6130" w:rsidRPr="00250D51" w:rsidRDefault="00CB6130" w:rsidP="00CB6130">
            <w:pPr>
              <w:rPr>
                <w:rFonts w:eastAsia="Calibri"/>
                <w:bCs/>
                <w:sz w:val="20"/>
                <w:szCs w:val="20"/>
                <w:lang w:eastAsia="en-US"/>
              </w:rPr>
            </w:pPr>
          </w:p>
        </w:tc>
        <w:tc>
          <w:tcPr>
            <w:tcW w:w="1276" w:type="dxa"/>
            <w:shd w:val="clear" w:color="auto" w:fill="auto"/>
          </w:tcPr>
          <w:p w:rsidR="00CB6130" w:rsidRPr="00250D51" w:rsidRDefault="00FA3AF2" w:rsidP="003347FE">
            <w:pPr>
              <w:jc w:val="center"/>
              <w:rPr>
                <w:rFonts w:eastAsia="Calibri"/>
                <w:bCs/>
                <w:sz w:val="20"/>
                <w:szCs w:val="20"/>
                <w:lang w:eastAsia="en-US"/>
              </w:rPr>
            </w:pPr>
            <w:r w:rsidRPr="00250D51">
              <w:rPr>
                <w:rFonts w:eastAsia="Calibri"/>
                <w:bCs/>
                <w:sz w:val="20"/>
                <w:szCs w:val="20"/>
                <w:lang w:eastAsia="en-US"/>
              </w:rPr>
              <w:t>5</w:t>
            </w:r>
            <w:r w:rsidR="00EB3CBA" w:rsidRPr="00250D51">
              <w:rPr>
                <w:rFonts w:eastAsia="Calibri"/>
                <w:bCs/>
                <w:sz w:val="20"/>
                <w:szCs w:val="20"/>
                <w:lang w:eastAsia="en-US"/>
              </w:rPr>
              <w:t>0</w:t>
            </w:r>
          </w:p>
        </w:tc>
        <w:tc>
          <w:tcPr>
            <w:tcW w:w="1701" w:type="dxa"/>
            <w:shd w:val="clear" w:color="auto" w:fill="auto"/>
          </w:tcPr>
          <w:p w:rsidR="00CB6130" w:rsidRPr="006F6929" w:rsidRDefault="00666488" w:rsidP="00392776">
            <w:pPr>
              <w:rPr>
                <w:rFonts w:eastAsia="Calibri"/>
                <w:sz w:val="20"/>
                <w:szCs w:val="20"/>
                <w:lang w:eastAsia="en-US"/>
              </w:rPr>
            </w:pPr>
            <w:r w:rsidRPr="006F6929">
              <w:rPr>
                <w:sz w:val="20"/>
                <w:szCs w:val="20"/>
              </w:rPr>
              <w:t>Наличие у участников закупки специалистов и иных работников определенного уровня квалификации</w:t>
            </w:r>
          </w:p>
        </w:tc>
        <w:tc>
          <w:tcPr>
            <w:tcW w:w="1701" w:type="dxa"/>
            <w:shd w:val="clear" w:color="auto" w:fill="auto"/>
          </w:tcPr>
          <w:p w:rsidR="00CB6130" w:rsidRPr="00250D51" w:rsidRDefault="00CB6130" w:rsidP="003347FE">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CB6130" w:rsidRPr="00250D51" w:rsidRDefault="00CB6130" w:rsidP="00FE7504">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B6130" w:rsidRPr="00250D51" w:rsidRDefault="00CB6130" w:rsidP="00CB6130">
            <w:pPr>
              <w:widowControl w:val="0"/>
              <w:ind w:right="-39" w:firstLine="567"/>
              <w:jc w:val="both"/>
              <w:rPr>
                <w:sz w:val="20"/>
                <w:szCs w:val="20"/>
              </w:rPr>
            </w:pPr>
            <w:r w:rsidRPr="00250D51">
              <w:rPr>
                <w:noProof/>
                <w:position w:val="-26"/>
                <w:sz w:val="20"/>
                <w:szCs w:val="20"/>
              </w:rPr>
              <w:drawing>
                <wp:inline distT="0" distB="0" distL="0" distR="0" wp14:anchorId="58FE1F3D" wp14:editId="28014EAD">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A3AF2" w:rsidRPr="00250D51" w:rsidRDefault="00CB6130" w:rsidP="00FA3AF2">
            <w:pPr>
              <w:widowControl w:val="0"/>
              <w:autoSpaceDE w:val="0"/>
              <w:autoSpaceDN w:val="0"/>
              <w:adjustRightInd w:val="0"/>
              <w:ind w:firstLine="540"/>
              <w:jc w:val="both"/>
              <w:rPr>
                <w:sz w:val="20"/>
                <w:szCs w:val="20"/>
              </w:rPr>
            </w:pPr>
            <w:r w:rsidRPr="00250D51">
              <w:rPr>
                <w:sz w:val="20"/>
                <w:szCs w:val="20"/>
              </w:rPr>
              <w:t>где:</w:t>
            </w:r>
          </w:p>
          <w:p w:rsidR="00CB6130" w:rsidRPr="00250D51" w:rsidRDefault="00CB6130" w:rsidP="00FA3AF2">
            <w:pPr>
              <w:widowControl w:val="0"/>
              <w:autoSpaceDE w:val="0"/>
              <w:autoSpaceDN w:val="0"/>
              <w:adjustRightInd w:val="0"/>
              <w:ind w:firstLine="540"/>
              <w:jc w:val="both"/>
              <w:rPr>
                <w:sz w:val="20"/>
                <w:szCs w:val="20"/>
              </w:rPr>
            </w:pPr>
            <w:r w:rsidRPr="00250D51">
              <w:rPr>
                <w:sz w:val="20"/>
                <w:szCs w:val="20"/>
              </w:rPr>
              <w:t>Х</w:t>
            </w:r>
            <w:r w:rsidRPr="00250D51">
              <w:rPr>
                <w:sz w:val="20"/>
                <w:szCs w:val="20"/>
                <w:vertAlign w:val="subscript"/>
              </w:rPr>
              <w:t>max</w:t>
            </w:r>
            <w:r w:rsidRPr="00250D51">
              <w:rPr>
                <w:sz w:val="20"/>
                <w:szCs w:val="20"/>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CB6130">
            <w:pPr>
              <w:widowControl w:val="0"/>
              <w:autoSpaceDE w:val="0"/>
              <w:autoSpaceDN w:val="0"/>
              <w:adjustRightInd w:val="0"/>
              <w:spacing w:before="220"/>
              <w:ind w:firstLine="540"/>
              <w:jc w:val="both"/>
              <w:rPr>
                <w:sz w:val="20"/>
                <w:szCs w:val="20"/>
              </w:rPr>
            </w:pPr>
            <w:r w:rsidRPr="00250D51">
              <w:rPr>
                <w:sz w:val="20"/>
                <w:szCs w:val="20"/>
              </w:rPr>
              <w:t>Х</w:t>
            </w:r>
            <w:r w:rsidRPr="00250D51">
              <w:rPr>
                <w:sz w:val="20"/>
                <w:szCs w:val="20"/>
                <w:vertAlign w:val="subscript"/>
              </w:rPr>
              <w:t>i</w:t>
            </w:r>
            <w:r w:rsidRPr="00250D51">
              <w:rPr>
                <w:sz w:val="20"/>
                <w:szCs w:val="20"/>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250D51">
              <w:rPr>
                <w:sz w:val="20"/>
                <w:szCs w:val="20"/>
              </w:rPr>
              <w:lastRenderedPageBreak/>
              <w:t>квалификации";</w:t>
            </w:r>
          </w:p>
          <w:p w:rsidR="00CB6130" w:rsidRPr="00250D51" w:rsidRDefault="00CB6130" w:rsidP="00FA3AF2">
            <w:pPr>
              <w:widowControl w:val="0"/>
              <w:autoSpaceDE w:val="0"/>
              <w:autoSpaceDN w:val="0"/>
              <w:adjustRightInd w:val="0"/>
              <w:spacing w:before="220"/>
              <w:ind w:firstLine="540"/>
              <w:jc w:val="both"/>
              <w:rPr>
                <w:rFonts w:eastAsia="Calibri"/>
                <w:bCs/>
                <w:sz w:val="20"/>
                <w:szCs w:val="20"/>
                <w:lang w:eastAsia="en-US"/>
              </w:rPr>
            </w:pPr>
            <w:r w:rsidRPr="00250D51">
              <w:rPr>
                <w:sz w:val="20"/>
                <w:szCs w:val="20"/>
              </w:rPr>
              <w:t>Х</w:t>
            </w:r>
            <w:r w:rsidRPr="00250D51">
              <w:rPr>
                <w:sz w:val="20"/>
                <w:szCs w:val="20"/>
                <w:vertAlign w:val="subscript"/>
              </w:rPr>
              <w:t>min</w:t>
            </w:r>
            <w:r w:rsidRPr="00250D51">
              <w:rPr>
                <w:sz w:val="20"/>
                <w:szCs w:val="20"/>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56B73" w:rsidRPr="00250D51" w:rsidTr="00217E9F">
        <w:trPr>
          <w:trHeight w:val="1686"/>
        </w:trPr>
        <w:tc>
          <w:tcPr>
            <w:tcW w:w="426" w:type="dxa"/>
            <w:shd w:val="clear" w:color="auto" w:fill="auto"/>
          </w:tcPr>
          <w:p w:rsidR="00456B73" w:rsidRPr="00250D51" w:rsidRDefault="00456B73" w:rsidP="00CB6130">
            <w:pPr>
              <w:rPr>
                <w:rFonts w:eastAsia="Calibri"/>
                <w:bCs/>
                <w:sz w:val="20"/>
                <w:szCs w:val="20"/>
                <w:lang w:eastAsia="en-US"/>
              </w:rPr>
            </w:pPr>
          </w:p>
        </w:tc>
        <w:tc>
          <w:tcPr>
            <w:tcW w:w="1701" w:type="dxa"/>
            <w:shd w:val="clear" w:color="auto" w:fill="auto"/>
          </w:tcPr>
          <w:p w:rsidR="00456B73" w:rsidRPr="00250D51" w:rsidRDefault="00456B73" w:rsidP="00CB6130">
            <w:pPr>
              <w:rPr>
                <w:rFonts w:eastAsia="Calibri"/>
                <w:bCs/>
                <w:sz w:val="20"/>
                <w:szCs w:val="20"/>
                <w:lang w:eastAsia="en-US"/>
              </w:rPr>
            </w:pPr>
          </w:p>
        </w:tc>
        <w:tc>
          <w:tcPr>
            <w:tcW w:w="1559" w:type="dxa"/>
            <w:shd w:val="clear" w:color="auto" w:fill="auto"/>
          </w:tcPr>
          <w:p w:rsidR="00456B73" w:rsidRPr="00250D51" w:rsidRDefault="00456B73" w:rsidP="00CB6130">
            <w:pPr>
              <w:rPr>
                <w:rFonts w:eastAsia="Calibri"/>
                <w:bCs/>
                <w:sz w:val="20"/>
                <w:szCs w:val="20"/>
                <w:lang w:eastAsia="en-US"/>
              </w:rPr>
            </w:pPr>
          </w:p>
        </w:tc>
        <w:tc>
          <w:tcPr>
            <w:tcW w:w="1418" w:type="dxa"/>
            <w:shd w:val="clear" w:color="auto" w:fill="auto"/>
          </w:tcPr>
          <w:p w:rsidR="00456B73" w:rsidRPr="00250D51" w:rsidRDefault="00456B73" w:rsidP="0012522C">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2</w:t>
            </w:r>
            <w:r w:rsidRPr="00250D51">
              <w:rPr>
                <w:rFonts w:eastAsia="Calibri"/>
                <w:bCs/>
                <w:sz w:val="20"/>
                <w:szCs w:val="20"/>
                <w:lang w:eastAsia="en-US"/>
              </w:rPr>
              <w:t xml:space="preserve"> </w:t>
            </w:r>
            <w:r w:rsidR="0012522C" w:rsidRPr="00250D51">
              <w:rPr>
                <w:color w:val="000000"/>
                <w:sz w:val="20"/>
                <w:szCs w:val="20"/>
              </w:rPr>
              <w:t>Наличие у участников закупки опыта выполнения работ, связанных с предметом контракта</w:t>
            </w:r>
          </w:p>
        </w:tc>
        <w:tc>
          <w:tcPr>
            <w:tcW w:w="1276" w:type="dxa"/>
            <w:shd w:val="clear" w:color="auto" w:fill="auto"/>
          </w:tcPr>
          <w:p w:rsidR="00456B73" w:rsidRPr="00250D51" w:rsidRDefault="0012522C" w:rsidP="003347FE">
            <w:pPr>
              <w:jc w:val="center"/>
              <w:rPr>
                <w:rFonts w:eastAsia="Calibri"/>
                <w:bCs/>
                <w:sz w:val="20"/>
                <w:szCs w:val="20"/>
                <w:lang w:eastAsia="en-US"/>
              </w:rPr>
            </w:pPr>
            <w:r w:rsidRPr="00250D51">
              <w:rPr>
                <w:rFonts w:eastAsia="Calibri"/>
                <w:bCs/>
                <w:sz w:val="20"/>
                <w:szCs w:val="20"/>
                <w:lang w:eastAsia="en-US"/>
              </w:rPr>
              <w:t>30</w:t>
            </w:r>
          </w:p>
        </w:tc>
        <w:tc>
          <w:tcPr>
            <w:tcW w:w="1701" w:type="dxa"/>
            <w:shd w:val="clear" w:color="auto" w:fill="auto"/>
          </w:tcPr>
          <w:p w:rsidR="00456B73" w:rsidRPr="00250D51" w:rsidRDefault="00C376BF" w:rsidP="00C376BF">
            <w:pPr>
              <w:jc w:val="center"/>
              <w:rPr>
                <w:rFonts w:eastAsia="Calibri"/>
                <w:sz w:val="20"/>
                <w:szCs w:val="20"/>
                <w:lang w:eastAsia="en-US"/>
              </w:rPr>
            </w:pPr>
            <w:r w:rsidRPr="00250D51">
              <w:rPr>
                <w:rFonts w:eastAsia="Calibri"/>
                <w:sz w:val="20"/>
                <w:szCs w:val="20"/>
                <w:lang w:eastAsia="en-US"/>
              </w:rPr>
              <w:t>-</w:t>
            </w:r>
          </w:p>
        </w:tc>
        <w:tc>
          <w:tcPr>
            <w:tcW w:w="1701" w:type="dxa"/>
            <w:shd w:val="clear" w:color="auto" w:fill="auto"/>
          </w:tcPr>
          <w:p w:rsidR="00456B73" w:rsidRPr="00250D51" w:rsidRDefault="00AB0AA5" w:rsidP="003347FE">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12522C" w:rsidRPr="00250D51" w:rsidRDefault="0012522C" w:rsidP="0012522C">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12522C" w:rsidRPr="00250D51" w:rsidRDefault="0012522C" w:rsidP="0012522C">
            <w:pPr>
              <w:widowControl w:val="0"/>
              <w:ind w:right="-39" w:firstLine="567"/>
              <w:jc w:val="both"/>
              <w:rPr>
                <w:sz w:val="20"/>
                <w:szCs w:val="20"/>
              </w:rPr>
            </w:pPr>
            <w:r w:rsidRPr="00250D51">
              <w:rPr>
                <w:noProof/>
                <w:position w:val="-26"/>
                <w:sz w:val="20"/>
                <w:szCs w:val="20"/>
              </w:rPr>
              <w:drawing>
                <wp:inline distT="0" distB="0" distL="0" distR="0">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2522C" w:rsidRPr="00250D51" w:rsidRDefault="0012522C" w:rsidP="0012522C">
            <w:pPr>
              <w:widowControl w:val="0"/>
              <w:autoSpaceDE w:val="0"/>
              <w:ind w:firstLine="540"/>
              <w:jc w:val="both"/>
              <w:rPr>
                <w:rFonts w:eastAsia="Arial"/>
                <w:sz w:val="20"/>
                <w:szCs w:val="20"/>
                <w:lang w:bidi="ru-RU"/>
              </w:rPr>
            </w:pPr>
            <w:r w:rsidRPr="00250D51">
              <w:rPr>
                <w:rFonts w:eastAsia="Arial"/>
                <w:sz w:val="20"/>
                <w:szCs w:val="20"/>
                <w:lang w:bidi="ru-RU"/>
              </w:rPr>
              <w:t>где:</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max</w:t>
            </w:r>
            <w:r w:rsidRPr="00250D51">
              <w:rPr>
                <w:rFonts w:eastAsia="Arial"/>
                <w:sz w:val="20"/>
                <w:szCs w:val="20"/>
                <w:lang w:bidi="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0" w:name="_Hlk92815433"/>
            <w:r w:rsidRPr="00250D51">
              <w:rPr>
                <w:rFonts w:eastAsia="Arial"/>
                <w:sz w:val="20"/>
                <w:szCs w:val="20"/>
                <w:lang w:bidi="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0"/>
            <w:r w:rsidRPr="00250D51">
              <w:rPr>
                <w:rFonts w:eastAsia="Arial"/>
                <w:sz w:val="20"/>
                <w:szCs w:val="20"/>
                <w:lang w:bidi="ru-RU"/>
              </w:rPr>
              <w:t>;</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i</w:t>
            </w:r>
            <w:r w:rsidRPr="00250D51">
              <w:rPr>
                <w:rFonts w:eastAsia="Arial"/>
                <w:sz w:val="20"/>
                <w:szCs w:val="20"/>
                <w:lang w:bidi="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min</w:t>
            </w:r>
            <w:r w:rsidRPr="00250D51">
              <w:rPr>
                <w:rFonts w:eastAsia="Arial"/>
                <w:sz w:val="20"/>
                <w:szCs w:val="20"/>
                <w:lang w:bidi="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w:t>
            </w:r>
            <w:r w:rsidRPr="00250D51">
              <w:rPr>
                <w:rFonts w:eastAsia="Arial"/>
                <w:sz w:val="20"/>
                <w:szCs w:val="20"/>
                <w:lang w:bidi="ru-RU"/>
              </w:rPr>
              <w:lastRenderedPageBreak/>
              <w:t>деловой репутации, специалистов и иных работников определенного уровня квалификации".</w:t>
            </w:r>
          </w:p>
          <w:p w:rsidR="0012522C" w:rsidRPr="00250D51" w:rsidRDefault="0012522C" w:rsidP="0012522C">
            <w:pPr>
              <w:jc w:val="both"/>
              <w:rPr>
                <w:rFonts w:eastAsia="Calibri"/>
                <w:sz w:val="20"/>
                <w:szCs w:val="20"/>
                <w:lang w:eastAsia="en-US"/>
              </w:rPr>
            </w:pPr>
            <w:r w:rsidRPr="00250D51">
              <w:rPr>
                <w:w w:val="105"/>
                <w:sz w:val="20"/>
                <w:szCs w:val="20"/>
              </w:rPr>
              <w:t xml:space="preserve">    Непредставление</w:t>
            </w:r>
            <w:r w:rsidRPr="00250D51">
              <w:rPr>
                <w:sz w:val="20"/>
                <w:szCs w:val="20"/>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456B73" w:rsidRPr="00250D51" w:rsidRDefault="00456B73" w:rsidP="00AB0AA5">
            <w:pPr>
              <w:autoSpaceDE w:val="0"/>
              <w:autoSpaceDN w:val="0"/>
              <w:adjustRightInd w:val="0"/>
              <w:jc w:val="both"/>
              <w:rPr>
                <w:rFonts w:eastAsia="Calibri"/>
                <w:sz w:val="20"/>
                <w:szCs w:val="20"/>
                <w:lang w:eastAsia="en-US"/>
              </w:rPr>
            </w:pPr>
          </w:p>
        </w:tc>
      </w:tr>
      <w:tr w:rsidR="00C376BF" w:rsidRPr="00250D51" w:rsidTr="00217E9F">
        <w:trPr>
          <w:trHeight w:val="3680"/>
        </w:trPr>
        <w:tc>
          <w:tcPr>
            <w:tcW w:w="426" w:type="dxa"/>
            <w:vMerge w:val="restart"/>
            <w:shd w:val="clear" w:color="auto" w:fill="auto"/>
          </w:tcPr>
          <w:p w:rsidR="00C376BF" w:rsidRPr="00250D51" w:rsidRDefault="00C376BF" w:rsidP="00CB6130">
            <w:pPr>
              <w:rPr>
                <w:rFonts w:eastAsia="Calibri"/>
                <w:bCs/>
                <w:sz w:val="20"/>
                <w:szCs w:val="20"/>
                <w:lang w:eastAsia="en-US"/>
              </w:rPr>
            </w:pPr>
          </w:p>
        </w:tc>
        <w:tc>
          <w:tcPr>
            <w:tcW w:w="1701" w:type="dxa"/>
            <w:vMerge w:val="restart"/>
            <w:shd w:val="clear" w:color="auto" w:fill="auto"/>
          </w:tcPr>
          <w:p w:rsidR="00C376BF" w:rsidRPr="00250D51" w:rsidRDefault="00C376BF" w:rsidP="00CB6130">
            <w:pPr>
              <w:rPr>
                <w:rFonts w:eastAsia="Calibri"/>
                <w:bCs/>
                <w:sz w:val="20"/>
                <w:szCs w:val="20"/>
                <w:lang w:eastAsia="en-US"/>
              </w:rPr>
            </w:pPr>
          </w:p>
        </w:tc>
        <w:tc>
          <w:tcPr>
            <w:tcW w:w="1559" w:type="dxa"/>
            <w:vMerge w:val="restart"/>
            <w:shd w:val="clear" w:color="auto" w:fill="auto"/>
          </w:tcPr>
          <w:p w:rsidR="00C376BF" w:rsidRPr="00250D51" w:rsidRDefault="00C376BF" w:rsidP="00CB6130">
            <w:pPr>
              <w:rPr>
                <w:rFonts w:eastAsia="Calibri"/>
                <w:bCs/>
                <w:sz w:val="20"/>
                <w:szCs w:val="20"/>
                <w:lang w:eastAsia="en-US"/>
              </w:rPr>
            </w:pPr>
          </w:p>
        </w:tc>
        <w:tc>
          <w:tcPr>
            <w:tcW w:w="1418" w:type="dxa"/>
            <w:vMerge w:val="restart"/>
            <w:shd w:val="clear" w:color="auto" w:fill="auto"/>
          </w:tcPr>
          <w:p w:rsidR="00C376BF" w:rsidRPr="00250D51" w:rsidRDefault="00C376BF" w:rsidP="0012522C">
            <w:pPr>
              <w:widowControl w:val="0"/>
              <w:suppressAutoHyphens/>
              <w:rPr>
                <w:rFonts w:eastAsia="Calibri"/>
                <w:bCs/>
                <w:sz w:val="20"/>
                <w:szCs w:val="20"/>
                <w:lang w:eastAsia="en-US"/>
              </w:rPr>
            </w:pPr>
            <w:r w:rsidRPr="00250D51">
              <w:rPr>
                <w:rFonts w:eastAsia="Calibri"/>
                <w:bCs/>
                <w:sz w:val="20"/>
                <w:szCs w:val="20"/>
                <w:lang w:eastAsia="en-US"/>
              </w:rPr>
              <w:t>2.3</w:t>
            </w:r>
            <w:r w:rsidRPr="00250D51">
              <w:rPr>
                <w:color w:val="000000"/>
                <w:sz w:val="20"/>
                <w:szCs w:val="20"/>
              </w:rPr>
              <w:t xml:space="preserve"> Наличие у участников закупки финансовых ресурсов</w:t>
            </w:r>
          </w:p>
        </w:tc>
        <w:tc>
          <w:tcPr>
            <w:tcW w:w="1276" w:type="dxa"/>
            <w:vMerge w:val="restart"/>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t>20</w:t>
            </w:r>
          </w:p>
        </w:tc>
        <w:tc>
          <w:tcPr>
            <w:tcW w:w="1701" w:type="dxa"/>
            <w:shd w:val="clear" w:color="auto" w:fill="auto"/>
          </w:tcPr>
          <w:p w:rsidR="00C376BF" w:rsidRPr="00250D51" w:rsidRDefault="00C376BF" w:rsidP="00C376BF">
            <w:pPr>
              <w:rPr>
                <w:rFonts w:eastAsia="Calibri"/>
                <w:sz w:val="20"/>
                <w:szCs w:val="20"/>
                <w:lang w:eastAsia="en-US"/>
              </w:rPr>
            </w:pPr>
            <w:r w:rsidRPr="00250D51">
              <w:rPr>
                <w:b/>
                <w:color w:val="000000"/>
                <w:sz w:val="20"/>
                <w:szCs w:val="20"/>
              </w:rPr>
              <w:t>БХi1.1</w:t>
            </w:r>
            <w:r w:rsidRPr="00250D51">
              <w:rPr>
                <w:color w:val="000000"/>
                <w:sz w:val="20"/>
                <w:szCs w:val="20"/>
              </w:rPr>
              <w:t xml:space="preserve"> (стоимость чистых активов)</w:t>
            </w:r>
          </w:p>
        </w:tc>
        <w:tc>
          <w:tcPr>
            <w:tcW w:w="1701" w:type="dxa"/>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t>40</w:t>
            </w:r>
          </w:p>
        </w:tc>
        <w:tc>
          <w:tcPr>
            <w:tcW w:w="6237" w:type="dxa"/>
            <w:vMerge w:val="restart"/>
            <w:shd w:val="clear" w:color="auto" w:fill="auto"/>
          </w:tcPr>
          <w:p w:rsidR="00C376BF" w:rsidRPr="00250D51" w:rsidRDefault="00C376BF" w:rsidP="00C376BF">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376BF" w:rsidRPr="00250D51" w:rsidRDefault="00C376BF" w:rsidP="00C376BF">
            <w:pPr>
              <w:widowControl w:val="0"/>
              <w:ind w:right="-39" w:firstLine="567"/>
              <w:jc w:val="both"/>
              <w:rPr>
                <w:sz w:val="20"/>
                <w:szCs w:val="20"/>
                <w:highlight w:val="yellow"/>
              </w:rPr>
            </w:pPr>
            <w:r w:rsidRPr="00250D51">
              <w:rPr>
                <w:noProof/>
                <w:position w:val="-26"/>
                <w:sz w:val="20"/>
                <w:szCs w:val="20"/>
              </w:rPr>
              <w:drawing>
                <wp:inline distT="0" distB="0" distL="0" distR="0">
                  <wp:extent cx="2085975" cy="476250"/>
                  <wp:effectExtent l="0" t="0" r="9525" b="0"/>
                  <wp:docPr id="2"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406141_3277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376BF" w:rsidRPr="00250D51" w:rsidRDefault="00C376BF" w:rsidP="00C376BF">
            <w:pPr>
              <w:widowControl w:val="0"/>
              <w:autoSpaceDE w:val="0"/>
              <w:ind w:firstLine="540"/>
              <w:jc w:val="both"/>
              <w:rPr>
                <w:rFonts w:eastAsia="Arial"/>
                <w:sz w:val="20"/>
                <w:szCs w:val="20"/>
                <w:lang w:bidi="ru-RU"/>
              </w:rPr>
            </w:pPr>
            <w:r w:rsidRPr="00250D51">
              <w:rPr>
                <w:rFonts w:eastAsia="Arial"/>
                <w:sz w:val="20"/>
                <w:szCs w:val="20"/>
                <w:lang w:bidi="ru-RU"/>
              </w:rPr>
              <w:t>где:</w:t>
            </w:r>
          </w:p>
          <w:p w:rsidR="00C376BF" w:rsidRPr="00250D51" w:rsidRDefault="00C376BF" w:rsidP="00C376BF">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max</w:t>
            </w:r>
            <w:r w:rsidRPr="00250D51">
              <w:rPr>
                <w:rFonts w:eastAsia="Arial"/>
                <w:sz w:val="20"/>
                <w:szCs w:val="20"/>
                <w:lang w:bidi="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76BF" w:rsidRPr="00250D51" w:rsidRDefault="00C376BF" w:rsidP="00C376BF">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i</w:t>
            </w:r>
            <w:r w:rsidRPr="00250D51">
              <w:rPr>
                <w:rFonts w:eastAsia="Arial"/>
                <w:sz w:val="20"/>
                <w:szCs w:val="20"/>
                <w:lang w:bidi="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76BF" w:rsidRPr="00250D51" w:rsidRDefault="00C376BF" w:rsidP="00C376BF">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min</w:t>
            </w:r>
            <w:r w:rsidRPr="00250D51">
              <w:rPr>
                <w:rFonts w:eastAsia="Arial"/>
                <w:sz w:val="20"/>
                <w:szCs w:val="20"/>
                <w:lang w:bidi="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76BF" w:rsidRPr="00250D51" w:rsidRDefault="00C376BF" w:rsidP="00C376BF">
            <w:pPr>
              <w:widowControl w:val="0"/>
              <w:snapToGrid w:val="0"/>
              <w:ind w:right="-94" w:firstLine="567"/>
              <w:contextualSpacing/>
              <w:jc w:val="both"/>
              <w:rPr>
                <w:sz w:val="20"/>
                <w:szCs w:val="20"/>
              </w:rPr>
            </w:pPr>
            <w:r w:rsidRPr="00250D51">
              <w:rPr>
                <w:w w:val="105"/>
                <w:sz w:val="20"/>
                <w:szCs w:val="20"/>
              </w:rPr>
              <w:lastRenderedPageBreak/>
              <w:t>Непредставление</w:t>
            </w:r>
            <w:r w:rsidRPr="00250D51">
              <w:rPr>
                <w:sz w:val="20"/>
                <w:szCs w:val="20"/>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C376BF" w:rsidRPr="00250D51" w:rsidRDefault="00C376BF" w:rsidP="00AB0AA5">
            <w:pPr>
              <w:autoSpaceDE w:val="0"/>
              <w:autoSpaceDN w:val="0"/>
              <w:adjustRightInd w:val="0"/>
              <w:jc w:val="both"/>
              <w:rPr>
                <w:rFonts w:eastAsiaTheme="minorHAnsi"/>
                <w:sz w:val="20"/>
                <w:szCs w:val="20"/>
                <w:lang w:eastAsia="en-US"/>
              </w:rPr>
            </w:pPr>
          </w:p>
        </w:tc>
      </w:tr>
      <w:tr w:rsidR="00C376BF" w:rsidRPr="00250D51" w:rsidTr="00217E9F">
        <w:trPr>
          <w:trHeight w:val="2967"/>
        </w:trPr>
        <w:tc>
          <w:tcPr>
            <w:tcW w:w="426" w:type="dxa"/>
            <w:vMerge/>
            <w:shd w:val="clear" w:color="auto" w:fill="auto"/>
          </w:tcPr>
          <w:p w:rsidR="00C376BF" w:rsidRPr="00250D51" w:rsidRDefault="00C376BF" w:rsidP="00CB6130">
            <w:pPr>
              <w:rPr>
                <w:rFonts w:eastAsia="Calibri"/>
                <w:bCs/>
                <w:sz w:val="20"/>
                <w:szCs w:val="20"/>
                <w:lang w:eastAsia="en-US"/>
              </w:rPr>
            </w:pPr>
          </w:p>
        </w:tc>
        <w:tc>
          <w:tcPr>
            <w:tcW w:w="1701" w:type="dxa"/>
            <w:vMerge/>
            <w:shd w:val="clear" w:color="auto" w:fill="auto"/>
          </w:tcPr>
          <w:p w:rsidR="00C376BF" w:rsidRPr="00250D51" w:rsidRDefault="00C376BF" w:rsidP="00CB6130">
            <w:pPr>
              <w:rPr>
                <w:rFonts w:eastAsia="Calibri"/>
                <w:bCs/>
                <w:sz w:val="20"/>
                <w:szCs w:val="20"/>
                <w:lang w:eastAsia="en-US"/>
              </w:rPr>
            </w:pPr>
          </w:p>
        </w:tc>
        <w:tc>
          <w:tcPr>
            <w:tcW w:w="1559" w:type="dxa"/>
            <w:vMerge/>
            <w:shd w:val="clear" w:color="auto" w:fill="auto"/>
          </w:tcPr>
          <w:p w:rsidR="00C376BF" w:rsidRPr="00250D51" w:rsidRDefault="00C376BF" w:rsidP="00CB6130">
            <w:pPr>
              <w:rPr>
                <w:rFonts w:eastAsia="Calibri"/>
                <w:bCs/>
                <w:sz w:val="20"/>
                <w:szCs w:val="20"/>
                <w:lang w:eastAsia="en-US"/>
              </w:rPr>
            </w:pPr>
          </w:p>
        </w:tc>
        <w:tc>
          <w:tcPr>
            <w:tcW w:w="1418" w:type="dxa"/>
            <w:vMerge/>
            <w:shd w:val="clear" w:color="auto" w:fill="auto"/>
          </w:tcPr>
          <w:p w:rsidR="00C376BF" w:rsidRPr="00250D51" w:rsidRDefault="00C376BF" w:rsidP="0012522C">
            <w:pPr>
              <w:widowControl w:val="0"/>
              <w:suppressAutoHyphens/>
              <w:rPr>
                <w:rFonts w:eastAsia="Calibri"/>
                <w:bCs/>
                <w:sz w:val="20"/>
                <w:szCs w:val="20"/>
                <w:lang w:eastAsia="en-US"/>
              </w:rPr>
            </w:pPr>
          </w:p>
        </w:tc>
        <w:tc>
          <w:tcPr>
            <w:tcW w:w="1276" w:type="dxa"/>
            <w:vMerge/>
            <w:shd w:val="clear" w:color="auto" w:fill="auto"/>
          </w:tcPr>
          <w:p w:rsidR="00C376BF" w:rsidRPr="00250D51" w:rsidRDefault="00C376BF" w:rsidP="003347FE">
            <w:pPr>
              <w:jc w:val="center"/>
              <w:rPr>
                <w:rFonts w:eastAsia="Calibri"/>
                <w:bCs/>
                <w:sz w:val="20"/>
                <w:szCs w:val="20"/>
                <w:lang w:eastAsia="en-US"/>
              </w:rPr>
            </w:pPr>
          </w:p>
        </w:tc>
        <w:tc>
          <w:tcPr>
            <w:tcW w:w="1701" w:type="dxa"/>
            <w:shd w:val="clear" w:color="auto" w:fill="auto"/>
          </w:tcPr>
          <w:p w:rsidR="00C376BF" w:rsidRPr="00250D51" w:rsidRDefault="00C376BF" w:rsidP="00C376BF">
            <w:pPr>
              <w:rPr>
                <w:rFonts w:eastAsia="Calibri"/>
                <w:sz w:val="20"/>
                <w:szCs w:val="20"/>
                <w:lang w:eastAsia="en-US"/>
              </w:rPr>
            </w:pPr>
            <w:r w:rsidRPr="00250D51">
              <w:rPr>
                <w:b/>
                <w:color w:val="000000"/>
                <w:sz w:val="20"/>
                <w:szCs w:val="20"/>
              </w:rPr>
              <w:t>БХi1.2</w:t>
            </w:r>
            <w:r w:rsidRPr="00250D51">
              <w:rPr>
                <w:color w:val="000000"/>
                <w:sz w:val="20"/>
                <w:szCs w:val="20"/>
              </w:rPr>
              <w:t xml:space="preserve"> (коэффициент обеспеченности собственными оборотными средствами)</w:t>
            </w:r>
          </w:p>
        </w:tc>
        <w:tc>
          <w:tcPr>
            <w:tcW w:w="1701" w:type="dxa"/>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t>20</w:t>
            </w:r>
          </w:p>
        </w:tc>
        <w:tc>
          <w:tcPr>
            <w:tcW w:w="6237" w:type="dxa"/>
            <w:vMerge/>
            <w:shd w:val="clear" w:color="auto" w:fill="auto"/>
          </w:tcPr>
          <w:p w:rsidR="00C376BF" w:rsidRPr="00250D51" w:rsidRDefault="00C376BF" w:rsidP="00AB0AA5">
            <w:pPr>
              <w:autoSpaceDE w:val="0"/>
              <w:autoSpaceDN w:val="0"/>
              <w:adjustRightInd w:val="0"/>
              <w:jc w:val="both"/>
              <w:rPr>
                <w:rFonts w:eastAsiaTheme="minorHAnsi"/>
                <w:sz w:val="20"/>
                <w:szCs w:val="20"/>
                <w:lang w:eastAsia="en-US"/>
              </w:rPr>
            </w:pPr>
          </w:p>
        </w:tc>
      </w:tr>
      <w:tr w:rsidR="00C376BF" w:rsidRPr="00250D51" w:rsidTr="00217E9F">
        <w:tc>
          <w:tcPr>
            <w:tcW w:w="426" w:type="dxa"/>
            <w:vMerge/>
            <w:shd w:val="clear" w:color="auto" w:fill="auto"/>
          </w:tcPr>
          <w:p w:rsidR="00C376BF" w:rsidRPr="00250D51" w:rsidRDefault="00C376BF" w:rsidP="00CB6130">
            <w:pPr>
              <w:rPr>
                <w:rFonts w:eastAsia="Calibri"/>
                <w:bCs/>
                <w:sz w:val="20"/>
                <w:szCs w:val="20"/>
                <w:lang w:eastAsia="en-US"/>
              </w:rPr>
            </w:pPr>
          </w:p>
        </w:tc>
        <w:tc>
          <w:tcPr>
            <w:tcW w:w="1701" w:type="dxa"/>
            <w:vMerge/>
            <w:shd w:val="clear" w:color="auto" w:fill="auto"/>
          </w:tcPr>
          <w:p w:rsidR="00C376BF" w:rsidRPr="00250D51" w:rsidRDefault="00C376BF" w:rsidP="00CB6130">
            <w:pPr>
              <w:rPr>
                <w:rFonts w:eastAsia="Calibri"/>
                <w:bCs/>
                <w:sz w:val="20"/>
                <w:szCs w:val="20"/>
                <w:lang w:eastAsia="en-US"/>
              </w:rPr>
            </w:pPr>
          </w:p>
        </w:tc>
        <w:tc>
          <w:tcPr>
            <w:tcW w:w="1559" w:type="dxa"/>
            <w:vMerge/>
            <w:shd w:val="clear" w:color="auto" w:fill="auto"/>
          </w:tcPr>
          <w:p w:rsidR="00C376BF" w:rsidRPr="00250D51" w:rsidRDefault="00C376BF" w:rsidP="00CB6130">
            <w:pPr>
              <w:rPr>
                <w:rFonts w:eastAsia="Calibri"/>
                <w:bCs/>
                <w:sz w:val="20"/>
                <w:szCs w:val="20"/>
                <w:lang w:eastAsia="en-US"/>
              </w:rPr>
            </w:pPr>
          </w:p>
        </w:tc>
        <w:tc>
          <w:tcPr>
            <w:tcW w:w="1418" w:type="dxa"/>
            <w:vMerge/>
            <w:shd w:val="clear" w:color="auto" w:fill="auto"/>
          </w:tcPr>
          <w:p w:rsidR="00C376BF" w:rsidRPr="00250D51" w:rsidRDefault="00C376BF" w:rsidP="0012522C">
            <w:pPr>
              <w:widowControl w:val="0"/>
              <w:suppressAutoHyphens/>
              <w:rPr>
                <w:rFonts w:eastAsia="Calibri"/>
                <w:bCs/>
                <w:sz w:val="20"/>
                <w:szCs w:val="20"/>
                <w:lang w:eastAsia="en-US"/>
              </w:rPr>
            </w:pPr>
          </w:p>
        </w:tc>
        <w:tc>
          <w:tcPr>
            <w:tcW w:w="1276" w:type="dxa"/>
            <w:vMerge/>
            <w:shd w:val="clear" w:color="auto" w:fill="auto"/>
          </w:tcPr>
          <w:p w:rsidR="00C376BF" w:rsidRPr="00250D51" w:rsidRDefault="00C376BF" w:rsidP="003347FE">
            <w:pPr>
              <w:jc w:val="center"/>
              <w:rPr>
                <w:rFonts w:eastAsia="Calibri"/>
                <w:bCs/>
                <w:sz w:val="20"/>
                <w:szCs w:val="20"/>
                <w:lang w:eastAsia="en-US"/>
              </w:rPr>
            </w:pPr>
          </w:p>
        </w:tc>
        <w:tc>
          <w:tcPr>
            <w:tcW w:w="1701" w:type="dxa"/>
            <w:shd w:val="clear" w:color="auto" w:fill="auto"/>
          </w:tcPr>
          <w:p w:rsidR="00C376BF" w:rsidRPr="00250D51" w:rsidRDefault="00C376BF" w:rsidP="00C376BF">
            <w:pPr>
              <w:rPr>
                <w:rFonts w:eastAsia="Calibri"/>
                <w:sz w:val="20"/>
                <w:szCs w:val="20"/>
                <w:lang w:eastAsia="en-US"/>
              </w:rPr>
            </w:pPr>
            <w:r w:rsidRPr="00250D51">
              <w:rPr>
                <w:b/>
                <w:color w:val="000000"/>
                <w:sz w:val="20"/>
                <w:szCs w:val="20"/>
              </w:rPr>
              <w:t>БХi1.3</w:t>
            </w:r>
            <w:r w:rsidRPr="00250D51">
              <w:rPr>
                <w:color w:val="000000"/>
                <w:sz w:val="20"/>
                <w:szCs w:val="20"/>
              </w:rPr>
              <w:t xml:space="preserve"> (коэффициент соизмеримости годовой выручки </w:t>
            </w:r>
            <w:r w:rsidRPr="00250D51">
              <w:rPr>
                <w:color w:val="000000"/>
                <w:sz w:val="20"/>
                <w:szCs w:val="20"/>
              </w:rPr>
              <w:lastRenderedPageBreak/>
              <w:t>от основной деятельности с суммой договора (КСВ))</w:t>
            </w:r>
          </w:p>
        </w:tc>
        <w:tc>
          <w:tcPr>
            <w:tcW w:w="1701" w:type="dxa"/>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lastRenderedPageBreak/>
              <w:t>40</w:t>
            </w:r>
          </w:p>
        </w:tc>
        <w:tc>
          <w:tcPr>
            <w:tcW w:w="6237" w:type="dxa"/>
            <w:vMerge/>
            <w:shd w:val="clear" w:color="auto" w:fill="auto"/>
          </w:tcPr>
          <w:p w:rsidR="00C376BF" w:rsidRPr="00250D51" w:rsidRDefault="00C376BF" w:rsidP="00AB0AA5">
            <w:pPr>
              <w:autoSpaceDE w:val="0"/>
              <w:autoSpaceDN w:val="0"/>
              <w:adjustRightInd w:val="0"/>
              <w:jc w:val="both"/>
              <w:rPr>
                <w:rFonts w:eastAsiaTheme="minorHAnsi"/>
                <w:sz w:val="20"/>
                <w:szCs w:val="20"/>
                <w:lang w:eastAsia="en-US"/>
              </w:rPr>
            </w:pPr>
          </w:p>
        </w:tc>
      </w:tr>
    </w:tbl>
    <w:p w:rsidR="00E813CA" w:rsidRPr="00A4102F" w:rsidRDefault="00E813CA" w:rsidP="00E813CA">
      <w:pPr>
        <w:rPr>
          <w:rFonts w:eastAsia="Calibri"/>
          <w:b/>
          <w:bCs/>
          <w:color w:val="FF0000"/>
          <w:lang w:eastAsia="en-US"/>
        </w:rPr>
      </w:pPr>
    </w:p>
    <w:p w:rsidR="00E813CA" w:rsidRPr="00EB3CBA" w:rsidRDefault="00E813CA" w:rsidP="003347FE">
      <w:pPr>
        <w:jc w:val="center"/>
        <w:rPr>
          <w:rFonts w:eastAsia="Calibri"/>
          <w:b/>
          <w:bCs/>
          <w:lang w:eastAsia="en-US"/>
        </w:rPr>
      </w:pPr>
      <w:r w:rsidRPr="00EB3CBA">
        <w:rPr>
          <w:rFonts w:eastAsia="Calibri"/>
          <w:b/>
          <w:bCs/>
          <w:lang w:val="en-US" w:eastAsia="en-US"/>
        </w:rPr>
        <w:t>III</w:t>
      </w:r>
      <w:r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11482"/>
      </w:tblGrid>
      <w:tr w:rsidR="00EB3CBA" w:rsidRPr="006C2FCC" w:rsidTr="006F6929">
        <w:tc>
          <w:tcPr>
            <w:tcW w:w="79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w:t>
            </w:r>
          </w:p>
        </w:tc>
        <w:tc>
          <w:tcPr>
            <w:tcW w:w="402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482"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Положение о применении критерия оценки, показателя оценки, показателя оценки, детализирующего показатель оценки.</w:t>
            </w:r>
          </w:p>
        </w:tc>
      </w:tr>
      <w:tr w:rsidR="00EB3CBA" w:rsidRPr="006C2FCC" w:rsidTr="006F6929">
        <w:tc>
          <w:tcPr>
            <w:tcW w:w="795" w:type="dxa"/>
            <w:shd w:val="clear" w:color="auto" w:fill="auto"/>
          </w:tcPr>
          <w:p w:rsidR="00E813CA" w:rsidRPr="006C2FCC" w:rsidRDefault="00E813CA" w:rsidP="00E03095">
            <w:pPr>
              <w:jc w:val="center"/>
              <w:rPr>
                <w:rFonts w:eastAsia="Calibri"/>
                <w:bCs/>
                <w:sz w:val="20"/>
                <w:szCs w:val="20"/>
                <w:lang w:eastAsia="en-US"/>
              </w:rPr>
            </w:pPr>
            <w:r w:rsidRPr="006C2FCC">
              <w:rPr>
                <w:rFonts w:eastAsia="Calibri"/>
                <w:bCs/>
                <w:sz w:val="20"/>
                <w:szCs w:val="20"/>
                <w:lang w:eastAsia="en-US"/>
              </w:rPr>
              <w:t>1</w:t>
            </w:r>
          </w:p>
        </w:tc>
        <w:tc>
          <w:tcPr>
            <w:tcW w:w="4025" w:type="dxa"/>
            <w:shd w:val="clear" w:color="auto" w:fill="auto"/>
          </w:tcPr>
          <w:p w:rsidR="00E813CA" w:rsidRPr="006C2FCC" w:rsidRDefault="00E813CA" w:rsidP="00E03095">
            <w:pPr>
              <w:jc w:val="center"/>
              <w:rPr>
                <w:sz w:val="20"/>
                <w:szCs w:val="20"/>
              </w:rPr>
            </w:pPr>
            <w:r w:rsidRPr="006C2FCC">
              <w:rPr>
                <w:sz w:val="20"/>
                <w:szCs w:val="20"/>
              </w:rPr>
              <w:t>2</w:t>
            </w:r>
          </w:p>
        </w:tc>
        <w:tc>
          <w:tcPr>
            <w:tcW w:w="11482" w:type="dxa"/>
            <w:shd w:val="clear" w:color="auto" w:fill="auto"/>
          </w:tcPr>
          <w:p w:rsidR="00E813CA" w:rsidRPr="006C2FCC" w:rsidRDefault="00E813CA" w:rsidP="00E03095">
            <w:pPr>
              <w:autoSpaceDE w:val="0"/>
              <w:autoSpaceDN w:val="0"/>
              <w:adjustRightInd w:val="0"/>
              <w:ind w:firstLine="540"/>
              <w:jc w:val="center"/>
              <w:rPr>
                <w:sz w:val="20"/>
                <w:szCs w:val="20"/>
              </w:rPr>
            </w:pPr>
            <w:r w:rsidRPr="006C2FCC">
              <w:rPr>
                <w:sz w:val="20"/>
                <w:szCs w:val="20"/>
              </w:rPr>
              <w:t>3</w:t>
            </w:r>
          </w:p>
        </w:tc>
      </w:tr>
      <w:tr w:rsidR="00C97B77" w:rsidRPr="006C2FCC" w:rsidTr="006F6929">
        <w:tc>
          <w:tcPr>
            <w:tcW w:w="795" w:type="dxa"/>
            <w:shd w:val="clear" w:color="auto" w:fill="auto"/>
          </w:tcPr>
          <w:p w:rsidR="00C97B77" w:rsidRPr="006C2FCC" w:rsidRDefault="00C97B77" w:rsidP="00E03095">
            <w:pPr>
              <w:jc w:val="center"/>
              <w:rPr>
                <w:rFonts w:eastAsia="Calibri"/>
                <w:bCs/>
                <w:sz w:val="20"/>
                <w:szCs w:val="20"/>
                <w:lang w:eastAsia="en-US"/>
              </w:rPr>
            </w:pPr>
            <w:r w:rsidRPr="006C2FCC">
              <w:rPr>
                <w:rFonts w:eastAsia="Calibri"/>
                <w:bCs/>
                <w:sz w:val="20"/>
                <w:szCs w:val="20"/>
                <w:lang w:eastAsia="en-US"/>
              </w:rPr>
              <w:t>1.</w:t>
            </w:r>
          </w:p>
        </w:tc>
        <w:tc>
          <w:tcPr>
            <w:tcW w:w="4025" w:type="dxa"/>
            <w:shd w:val="clear" w:color="auto" w:fill="auto"/>
          </w:tcPr>
          <w:p w:rsidR="00C97B77" w:rsidRPr="006C2FCC" w:rsidRDefault="00C97B77" w:rsidP="00E03095">
            <w:pPr>
              <w:jc w:val="center"/>
              <w:rPr>
                <w:sz w:val="20"/>
                <w:szCs w:val="20"/>
              </w:rPr>
            </w:pPr>
            <w:r w:rsidRPr="006C2FCC">
              <w:rPr>
                <w:rFonts w:eastAsia="Calibri"/>
                <w:bCs/>
                <w:sz w:val="20"/>
                <w:szCs w:val="20"/>
                <w:lang w:eastAsia="en-US"/>
              </w:rPr>
              <w:t>Цена контракта, сумма цен единиц товара, работы, услуги</w:t>
            </w:r>
          </w:p>
        </w:tc>
        <w:tc>
          <w:tcPr>
            <w:tcW w:w="11482" w:type="dxa"/>
            <w:shd w:val="clear" w:color="auto" w:fill="auto"/>
          </w:tcPr>
          <w:p w:rsidR="00C97B77" w:rsidRPr="00392776" w:rsidRDefault="00DB6F0F" w:rsidP="00392776">
            <w:pPr>
              <w:autoSpaceDE w:val="0"/>
              <w:autoSpaceDN w:val="0"/>
              <w:adjustRightInd w:val="0"/>
              <w:rPr>
                <w:sz w:val="20"/>
                <w:szCs w:val="20"/>
              </w:rPr>
            </w:pPr>
            <w:r w:rsidRPr="00392776">
              <w:rPr>
                <w:sz w:val="20"/>
                <w:szCs w:val="20"/>
              </w:rPr>
              <w:t>а) з</w:t>
            </w:r>
            <w:r w:rsidR="00C97B77" w:rsidRPr="00392776">
              <w:rPr>
                <w:sz w:val="20"/>
                <w:szCs w:val="20"/>
              </w:rPr>
              <w:t>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7B77" w:rsidRDefault="00DB6F0F" w:rsidP="00250D51">
            <w:pPr>
              <w:jc w:val="both"/>
              <w:rPr>
                <w:sz w:val="20"/>
                <w:szCs w:val="20"/>
              </w:rPr>
            </w:pPr>
            <w:r>
              <w:rPr>
                <w:sz w:val="20"/>
                <w:szCs w:val="20"/>
              </w:rPr>
              <w:t>б) з</w:t>
            </w:r>
            <w:r w:rsidR="00C97B77" w:rsidRPr="006C2FCC">
              <w:rPr>
                <w:sz w:val="20"/>
                <w:szCs w:val="20"/>
              </w:rPr>
              <w:t xml:space="preserve">начение Цл при применении </w:t>
            </w:r>
            <w:r w:rsidR="00250D51" w:rsidRPr="006C2FCC">
              <w:rPr>
                <w:sz w:val="20"/>
                <w:szCs w:val="20"/>
              </w:rPr>
              <w:t xml:space="preserve">формулы, предусмотренной пунктом 1, раздела </w:t>
            </w:r>
            <w:r w:rsidR="00250D51" w:rsidRPr="006C2FCC">
              <w:rPr>
                <w:sz w:val="20"/>
                <w:szCs w:val="20"/>
                <w:lang w:val="en-US"/>
              </w:rPr>
              <w:t>II</w:t>
            </w:r>
            <w:r w:rsidR="00250D51" w:rsidRPr="006C2FCC">
              <w:rPr>
                <w:sz w:val="20"/>
                <w:szCs w:val="20"/>
              </w:rPr>
              <w:t xml:space="preserve"> настоящего Порядка </w:t>
            </w:r>
            <w:r w:rsidR="00250D51" w:rsidRPr="006C2FCC">
              <w:rPr>
                <w:rFonts w:eastAsia="Calibri"/>
                <w:sz w:val="20"/>
                <w:szCs w:val="20"/>
                <w:lang w:eastAsia="en-US"/>
              </w:rPr>
              <w:t>рассмотрения и оценки заявок на участие в конкурсе</w:t>
            </w:r>
            <w:r w:rsidR="00C97B77" w:rsidRPr="006C2FCC">
              <w:rPr>
                <w:sz w:val="20"/>
                <w:szCs w:val="20"/>
              </w:rPr>
              <w:t>, и значения Цл и Ц</w:t>
            </w:r>
            <w:r w:rsidR="00C97B77" w:rsidRPr="006C2FCC">
              <w:rPr>
                <w:sz w:val="20"/>
                <w:szCs w:val="20"/>
                <w:lang w:val="en-US"/>
              </w:rPr>
              <w:t>i</w:t>
            </w:r>
            <w:r w:rsidR="00C97B77" w:rsidRPr="006C2FCC">
              <w:rPr>
                <w:sz w:val="20"/>
                <w:szCs w:val="20"/>
              </w:rPr>
              <w:t xml:space="preserve"> при применении формулы, предусмотренной </w:t>
            </w:r>
            <w:r w:rsidR="00E37292" w:rsidRPr="006C2FCC">
              <w:rPr>
                <w:sz w:val="20"/>
                <w:szCs w:val="20"/>
              </w:rPr>
              <w:t xml:space="preserve">пунктом 1, раздела </w:t>
            </w:r>
            <w:r w:rsidR="00E37292" w:rsidRPr="006C2FCC">
              <w:rPr>
                <w:sz w:val="20"/>
                <w:szCs w:val="20"/>
                <w:lang w:val="en-US"/>
              </w:rPr>
              <w:t>II</w:t>
            </w:r>
            <w:r w:rsidR="00E37292" w:rsidRPr="006C2FCC">
              <w:rPr>
                <w:sz w:val="20"/>
                <w:szCs w:val="20"/>
              </w:rPr>
              <w:t xml:space="preserve"> настоящего Порядка </w:t>
            </w:r>
            <w:r w:rsidR="00E37292" w:rsidRPr="006C2FCC">
              <w:rPr>
                <w:rFonts w:eastAsia="Calibri"/>
                <w:sz w:val="20"/>
                <w:szCs w:val="20"/>
                <w:lang w:eastAsia="en-US"/>
              </w:rPr>
              <w:t>рассмотрения и оценки заявок на участие в конкурсе</w:t>
            </w:r>
            <w:r>
              <w:rPr>
                <w:sz w:val="20"/>
                <w:szCs w:val="20"/>
              </w:rPr>
              <w:t>, указываются без знака «минус»;</w:t>
            </w:r>
          </w:p>
          <w:p w:rsidR="00DB6F0F" w:rsidRPr="006C2FCC" w:rsidRDefault="00DB6F0F" w:rsidP="00250D51">
            <w:pPr>
              <w:jc w:val="both"/>
              <w:rPr>
                <w:sz w:val="20"/>
                <w:szCs w:val="20"/>
              </w:rPr>
            </w:pPr>
            <w:r>
              <w:rPr>
                <w:sz w:val="20"/>
                <w:szCs w:val="20"/>
              </w:rPr>
              <w:t>в) применение показателей оценки по критерию оценки «цена контракта, сумма цен единиц товара, работы, услуги»  не допускается.</w:t>
            </w:r>
          </w:p>
        </w:tc>
      </w:tr>
      <w:tr w:rsidR="00EB3CBA" w:rsidRPr="006C2FCC" w:rsidTr="006F6929">
        <w:trPr>
          <w:trHeight w:val="1801"/>
        </w:trPr>
        <w:tc>
          <w:tcPr>
            <w:tcW w:w="795" w:type="dxa"/>
            <w:shd w:val="clear" w:color="auto" w:fill="auto"/>
          </w:tcPr>
          <w:p w:rsidR="00E813CA" w:rsidRPr="006C2FCC" w:rsidRDefault="00C97B77" w:rsidP="00E03095">
            <w:pPr>
              <w:jc w:val="center"/>
              <w:rPr>
                <w:rFonts w:eastAsia="Calibri"/>
                <w:bCs/>
                <w:sz w:val="20"/>
                <w:szCs w:val="20"/>
                <w:lang w:eastAsia="en-US"/>
              </w:rPr>
            </w:pPr>
            <w:r w:rsidRPr="006C2FCC">
              <w:rPr>
                <w:rFonts w:eastAsia="Calibri"/>
                <w:bCs/>
                <w:sz w:val="20"/>
                <w:szCs w:val="20"/>
                <w:lang w:eastAsia="en-US"/>
              </w:rPr>
              <w:t>2.</w:t>
            </w:r>
          </w:p>
        </w:tc>
        <w:tc>
          <w:tcPr>
            <w:tcW w:w="4025" w:type="dxa"/>
            <w:shd w:val="clear" w:color="auto" w:fill="auto"/>
          </w:tcPr>
          <w:p w:rsidR="00FA3AF2" w:rsidRPr="006C2FCC" w:rsidRDefault="00E813CA" w:rsidP="00FA3AF2">
            <w:pPr>
              <w:jc w:val="both"/>
              <w:rPr>
                <w:sz w:val="20"/>
                <w:szCs w:val="20"/>
              </w:rPr>
            </w:pPr>
            <w:r w:rsidRPr="006C2FCC">
              <w:rPr>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6C2FCC" w:rsidRDefault="00E813CA" w:rsidP="00BC0583">
            <w:pPr>
              <w:jc w:val="both"/>
              <w:rPr>
                <w:sz w:val="20"/>
                <w:szCs w:val="20"/>
              </w:rPr>
            </w:pPr>
          </w:p>
        </w:tc>
        <w:tc>
          <w:tcPr>
            <w:tcW w:w="11482" w:type="dxa"/>
            <w:shd w:val="clear" w:color="auto" w:fill="auto"/>
          </w:tcPr>
          <w:p w:rsidR="00BC0583" w:rsidRPr="006C2FCC" w:rsidRDefault="00660861" w:rsidP="00E03095">
            <w:pPr>
              <w:autoSpaceDE w:val="0"/>
              <w:autoSpaceDN w:val="0"/>
              <w:adjustRightInd w:val="0"/>
              <w:ind w:firstLine="540"/>
              <w:jc w:val="both"/>
              <w:rPr>
                <w:bCs/>
                <w:iCs/>
                <w:sz w:val="20"/>
                <w:szCs w:val="20"/>
              </w:rPr>
            </w:pPr>
            <w:r w:rsidRPr="006C2FCC">
              <w:rPr>
                <w:sz w:val="20"/>
                <w:szCs w:val="20"/>
              </w:rPr>
              <w:t xml:space="preserve">Оценка заявки (части заявки) </w:t>
            </w:r>
            <w:r w:rsidRPr="006C2FCC">
              <w:rPr>
                <w:bCs/>
                <w:iCs/>
                <w:sz w:val="20"/>
                <w:szCs w:val="20"/>
              </w:rPr>
              <w:t xml:space="preserve">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w:t>
            </w:r>
            <w:r w:rsidR="00BC0583" w:rsidRPr="006C2FCC">
              <w:rPr>
                <w:bCs/>
                <w:iCs/>
                <w:sz w:val="20"/>
                <w:szCs w:val="20"/>
              </w:rPr>
              <w:t>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813CA" w:rsidRPr="006C2FCC" w:rsidRDefault="00BC0583" w:rsidP="00E12C6E">
            <w:pPr>
              <w:autoSpaceDE w:val="0"/>
              <w:autoSpaceDN w:val="0"/>
              <w:adjustRightInd w:val="0"/>
              <w:ind w:firstLine="540"/>
              <w:jc w:val="both"/>
              <w:rPr>
                <w:sz w:val="20"/>
                <w:szCs w:val="20"/>
              </w:rPr>
            </w:pPr>
            <w:r w:rsidRPr="006C2FCC">
              <w:rPr>
                <w:sz w:val="20"/>
                <w:szCs w:val="20"/>
              </w:rPr>
              <w:t xml:space="preserve">Непредставление в составе заявки на участие в закупке документов для оценки не является основанием для отказа в допуске к участию в закупке, однако при оценке по настоящему критерию учитываются только те сведения, заявленные участниками закупки, которые подтверждены документально в составе заявки на участие в закупке. </w:t>
            </w:r>
          </w:p>
        </w:tc>
      </w:tr>
      <w:tr w:rsidR="006818C2" w:rsidRPr="006C2FCC" w:rsidTr="006F6929">
        <w:tc>
          <w:tcPr>
            <w:tcW w:w="795" w:type="dxa"/>
            <w:shd w:val="clear" w:color="auto" w:fill="auto"/>
          </w:tcPr>
          <w:p w:rsidR="00CF508D" w:rsidRPr="006C2FCC" w:rsidRDefault="00CF508D" w:rsidP="00CF508D">
            <w:pPr>
              <w:rPr>
                <w:rFonts w:eastAsia="Calibri"/>
                <w:bCs/>
                <w:sz w:val="20"/>
                <w:szCs w:val="20"/>
                <w:lang w:eastAsia="en-US"/>
              </w:rPr>
            </w:pPr>
          </w:p>
        </w:tc>
        <w:tc>
          <w:tcPr>
            <w:tcW w:w="4025" w:type="dxa"/>
            <w:shd w:val="clear" w:color="auto" w:fill="auto"/>
          </w:tcPr>
          <w:p w:rsidR="00CF508D" w:rsidRPr="006C2FCC" w:rsidRDefault="00CF508D" w:rsidP="00CF508D">
            <w:pPr>
              <w:ind w:right="-39"/>
              <w:rPr>
                <w:sz w:val="20"/>
                <w:szCs w:val="20"/>
              </w:rPr>
            </w:pPr>
            <w:r w:rsidRPr="006C2FCC">
              <w:rPr>
                <w:rFonts w:eastAsia="Arial"/>
                <w:sz w:val="20"/>
                <w:szCs w:val="20"/>
              </w:rPr>
              <w:t>2.</w:t>
            </w:r>
            <w:r w:rsidR="00E12C6E" w:rsidRPr="006C2FCC">
              <w:rPr>
                <w:rFonts w:eastAsia="Arial"/>
                <w:sz w:val="20"/>
                <w:szCs w:val="20"/>
              </w:rPr>
              <w:t>1</w:t>
            </w:r>
            <w:r w:rsidRPr="006C2FCC">
              <w:rPr>
                <w:rFonts w:eastAsia="Arial"/>
                <w:sz w:val="20"/>
                <w:szCs w:val="20"/>
              </w:rPr>
              <w:t xml:space="preserve"> </w:t>
            </w:r>
            <w:r w:rsidRPr="006C2FCC">
              <w:rPr>
                <w:sz w:val="20"/>
                <w:szCs w:val="20"/>
              </w:rPr>
              <w:t>Наличие у участников закупки специалистов и иных работников определенного уровня квалификации.</w:t>
            </w:r>
          </w:p>
          <w:p w:rsidR="00CF508D" w:rsidRPr="006C2FCC" w:rsidRDefault="00CF508D" w:rsidP="00CF508D">
            <w:pPr>
              <w:ind w:right="-39"/>
              <w:rPr>
                <w:sz w:val="20"/>
                <w:szCs w:val="20"/>
              </w:rPr>
            </w:pPr>
          </w:p>
          <w:p w:rsidR="00CF508D" w:rsidRPr="006C2FCC" w:rsidRDefault="00CF508D" w:rsidP="00CF508D">
            <w:pPr>
              <w:rPr>
                <w:rFonts w:eastAsia="Calibri"/>
                <w:bCs/>
                <w:sz w:val="20"/>
                <w:szCs w:val="20"/>
                <w:lang w:eastAsia="en-US"/>
              </w:rPr>
            </w:pPr>
          </w:p>
          <w:p w:rsidR="00CF508D" w:rsidRPr="006C2FCC" w:rsidRDefault="00CF508D" w:rsidP="00CF508D">
            <w:pPr>
              <w:jc w:val="both"/>
              <w:rPr>
                <w:sz w:val="20"/>
                <w:szCs w:val="20"/>
              </w:rPr>
            </w:pPr>
          </w:p>
        </w:tc>
        <w:tc>
          <w:tcPr>
            <w:tcW w:w="11482" w:type="dxa"/>
            <w:shd w:val="clear" w:color="auto" w:fill="auto"/>
          </w:tcPr>
          <w:p w:rsidR="00666488" w:rsidRPr="00666488" w:rsidRDefault="00290C77" w:rsidP="00666488">
            <w:pPr>
              <w:ind w:firstLine="476"/>
              <w:jc w:val="both"/>
              <w:rPr>
                <w:rFonts w:eastAsia="Calibri"/>
                <w:sz w:val="20"/>
                <w:szCs w:val="20"/>
                <w:lang w:eastAsia="en-US"/>
              </w:rPr>
            </w:pPr>
            <w:r>
              <w:rPr>
                <w:rFonts w:eastAsia="Calibri"/>
                <w:sz w:val="20"/>
                <w:szCs w:val="20"/>
                <w:lang w:eastAsia="en-US"/>
              </w:rPr>
              <w:t>Оценивается н</w:t>
            </w:r>
            <w:r w:rsidR="00666488" w:rsidRPr="00666488">
              <w:rPr>
                <w:rFonts w:eastAsia="Calibri"/>
                <w:sz w:val="20"/>
                <w:szCs w:val="20"/>
                <w:lang w:eastAsia="en-US"/>
              </w:rPr>
              <w:t xml:space="preserve">аличие специалистов и иных работников, их квалификация, необходимые для выполнения работ, являющихся объектом закупки, а именно: механик протезно-ортопедических изделий (также возможные специальности: техник, инженер-протезист, техник-протезист); основные функциональные обязанности: изготовление изделия для примерки, примерка приемной гильзы, предварительная сборка протеза, примерка, установка, подгонка узлов, креплений, окончательная сборка и отделка протеза, обучение пользованию протезом, уходу за изделием и культей и выдача готового изделия, проверка состояния культи в процессе протезирования, наблюдение протезированного пациента, осмотр и ремонт протеза при необходимости; </w:t>
            </w:r>
          </w:p>
          <w:p w:rsidR="00666488" w:rsidRPr="00666488" w:rsidRDefault="00666488" w:rsidP="00666488">
            <w:pPr>
              <w:widowControl w:val="0"/>
              <w:ind w:right="-39" w:firstLine="476"/>
              <w:jc w:val="both"/>
              <w:rPr>
                <w:rFonts w:eastAsiaTheme="minorEastAsia"/>
                <w:sz w:val="20"/>
                <w:szCs w:val="20"/>
              </w:rPr>
            </w:pPr>
            <w:r w:rsidRPr="00666488">
              <w:rPr>
                <w:rFonts w:eastAsiaTheme="minorEastAsia"/>
                <w:sz w:val="20"/>
                <w:szCs w:val="20"/>
              </w:rPr>
              <w:t>2) Перечень следующих документов, подтверждающих наличие специалистов и иных работников, их квалификацию, предусмотренные п. 1:</w:t>
            </w:r>
          </w:p>
          <w:p w:rsidR="00666488" w:rsidRPr="00666488" w:rsidRDefault="00666488" w:rsidP="00666488">
            <w:pPr>
              <w:ind w:firstLine="476"/>
              <w:jc w:val="both"/>
              <w:rPr>
                <w:rFonts w:eastAsia="Calibri"/>
                <w:sz w:val="20"/>
                <w:szCs w:val="20"/>
                <w:lang w:eastAsia="en-US"/>
              </w:rPr>
            </w:pPr>
            <w:r w:rsidRPr="00666488">
              <w:rPr>
                <w:rFonts w:eastAsia="Calibri"/>
                <w:sz w:val="20"/>
                <w:szCs w:val="20"/>
                <w:lang w:eastAsia="en-US"/>
              </w:rPr>
              <w:lastRenderedPageBreak/>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CF508D" w:rsidRDefault="00666488" w:rsidP="00666488">
            <w:pPr>
              <w:ind w:firstLine="607"/>
              <w:jc w:val="both"/>
              <w:rPr>
                <w:rFonts w:eastAsiaTheme="minorEastAsia"/>
                <w:sz w:val="20"/>
                <w:szCs w:val="20"/>
              </w:rPr>
            </w:pPr>
            <w:r w:rsidRPr="00666488">
              <w:rPr>
                <w:rFonts w:eastAsiaTheme="minorEastAsia"/>
                <w:sz w:val="20"/>
                <w:szCs w:val="20"/>
              </w:rPr>
              <w:t>- 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 протезов.</w:t>
            </w:r>
          </w:p>
          <w:p w:rsidR="00666488" w:rsidRPr="00666488" w:rsidRDefault="00666488" w:rsidP="00666488">
            <w:pPr>
              <w:ind w:firstLine="607"/>
              <w:jc w:val="both"/>
              <w:rPr>
                <w:rFonts w:eastAsia="Calibri"/>
                <w:bCs/>
                <w:sz w:val="20"/>
                <w:szCs w:val="20"/>
                <w:lang w:eastAsia="en-US"/>
              </w:rPr>
            </w:pPr>
          </w:p>
        </w:tc>
      </w:tr>
      <w:tr w:rsidR="00EA1191" w:rsidRPr="006C2FCC" w:rsidTr="006F6929">
        <w:tc>
          <w:tcPr>
            <w:tcW w:w="795" w:type="dxa"/>
            <w:shd w:val="clear" w:color="auto" w:fill="auto"/>
          </w:tcPr>
          <w:p w:rsidR="00EA1191" w:rsidRPr="006C2FCC" w:rsidRDefault="00EA1191" w:rsidP="00CF508D">
            <w:pPr>
              <w:rPr>
                <w:rFonts w:eastAsia="Calibri"/>
                <w:bCs/>
                <w:sz w:val="20"/>
                <w:szCs w:val="20"/>
                <w:lang w:eastAsia="en-US"/>
              </w:rPr>
            </w:pPr>
          </w:p>
        </w:tc>
        <w:tc>
          <w:tcPr>
            <w:tcW w:w="4025" w:type="dxa"/>
            <w:shd w:val="clear" w:color="auto" w:fill="auto"/>
          </w:tcPr>
          <w:p w:rsidR="00EA1191" w:rsidRPr="006C2FCC" w:rsidRDefault="00E12C6E" w:rsidP="00CF508D">
            <w:pPr>
              <w:ind w:right="-39"/>
              <w:rPr>
                <w:rFonts w:eastAsia="Arial"/>
                <w:sz w:val="20"/>
                <w:szCs w:val="20"/>
              </w:rPr>
            </w:pPr>
            <w:r w:rsidRPr="006C2FCC">
              <w:rPr>
                <w:rFonts w:eastAsia="Arial"/>
                <w:sz w:val="20"/>
                <w:szCs w:val="20"/>
              </w:rPr>
              <w:t>2.2</w:t>
            </w:r>
            <w:r w:rsidRPr="006C2FCC">
              <w:rPr>
                <w:color w:val="000000"/>
                <w:sz w:val="20"/>
                <w:szCs w:val="20"/>
              </w:rPr>
              <w:t xml:space="preserve"> </w:t>
            </w:r>
            <w:r w:rsidR="00F956E5" w:rsidRPr="006C2FCC">
              <w:rPr>
                <w:color w:val="000000"/>
                <w:sz w:val="20"/>
                <w:szCs w:val="20"/>
              </w:rPr>
              <w:t>Наличие у участников закупки опыта выполнения работ, связанных с предметом контракта</w:t>
            </w:r>
          </w:p>
          <w:p w:rsidR="00EA1191" w:rsidRPr="006C2FCC" w:rsidRDefault="00EA1191" w:rsidP="00B648FC">
            <w:pPr>
              <w:ind w:right="-39"/>
              <w:rPr>
                <w:rFonts w:eastAsia="Arial"/>
                <w:sz w:val="20"/>
                <w:szCs w:val="20"/>
              </w:rPr>
            </w:pPr>
          </w:p>
        </w:tc>
        <w:tc>
          <w:tcPr>
            <w:tcW w:w="11482" w:type="dxa"/>
            <w:shd w:val="clear" w:color="auto" w:fill="auto"/>
          </w:tcPr>
          <w:p w:rsidR="00387BC4" w:rsidRPr="00666488" w:rsidRDefault="00A32091" w:rsidP="00387BC4">
            <w:pPr>
              <w:widowControl w:val="0"/>
              <w:tabs>
                <w:tab w:val="left" w:pos="708"/>
              </w:tabs>
              <w:snapToGrid w:val="0"/>
              <w:jc w:val="both"/>
              <w:rPr>
                <w:sz w:val="20"/>
                <w:szCs w:val="20"/>
              </w:rPr>
            </w:pPr>
            <w:r w:rsidRPr="00666488">
              <w:rPr>
                <w:rFonts w:eastAsiaTheme="minorHAnsi"/>
                <w:sz w:val="20"/>
                <w:szCs w:val="20"/>
                <w:lang w:eastAsia="en-US"/>
              </w:rPr>
              <w:t xml:space="preserve">  </w:t>
            </w:r>
            <w:r w:rsidR="00387BC4" w:rsidRPr="00666488">
              <w:rPr>
                <w:rFonts w:eastAsiaTheme="minorHAnsi"/>
                <w:sz w:val="20"/>
                <w:szCs w:val="20"/>
                <w:lang w:eastAsia="en-US"/>
              </w:rPr>
              <w:t xml:space="preserve">По данному показателю оценивается </w:t>
            </w:r>
            <w:r w:rsidR="00387BC4" w:rsidRPr="00666488">
              <w:rPr>
                <w:sz w:val="20"/>
                <w:szCs w:val="20"/>
              </w:rPr>
              <w:t xml:space="preserve">общая цена исполненных участником закупки договоров. </w:t>
            </w:r>
          </w:p>
          <w:p w:rsidR="00387BC4" w:rsidRPr="00666488" w:rsidRDefault="00387BC4" w:rsidP="00387BC4">
            <w:pPr>
              <w:widowControl w:val="0"/>
              <w:tabs>
                <w:tab w:val="left" w:pos="708"/>
              </w:tabs>
              <w:snapToGrid w:val="0"/>
              <w:jc w:val="both"/>
              <w:rPr>
                <w:sz w:val="20"/>
                <w:szCs w:val="20"/>
              </w:rPr>
            </w:pPr>
            <w:r w:rsidRPr="00666488">
              <w:rPr>
                <w:sz w:val="20"/>
                <w:szCs w:val="20"/>
              </w:rPr>
              <w:t xml:space="preserve">    При этом, участник закупки предоставляет исполненные договоры на </w:t>
            </w:r>
            <w:r w:rsidR="0018277F" w:rsidRPr="00666488">
              <w:rPr>
                <w:sz w:val="20"/>
                <w:szCs w:val="20"/>
              </w:rPr>
              <w:t>выполнение работ по изготовлению протеза предплечья с микропроцессорным управлением</w:t>
            </w:r>
            <w:r w:rsidRPr="00666488">
              <w:rPr>
                <w:sz w:val="20"/>
                <w:szCs w:val="20"/>
              </w:rPr>
              <w:t xml:space="preserve"> сопоставимого характера и объема, а также акты приемки выполненных работ, составленные при исполнении таких договоров. </w:t>
            </w:r>
          </w:p>
          <w:p w:rsidR="00387BC4" w:rsidRPr="00666488" w:rsidRDefault="00387BC4" w:rsidP="00387BC4">
            <w:pPr>
              <w:jc w:val="both"/>
              <w:rPr>
                <w:rFonts w:eastAsia="Calibri"/>
                <w:sz w:val="20"/>
                <w:szCs w:val="20"/>
                <w:lang w:eastAsia="en-US"/>
              </w:rPr>
            </w:pPr>
            <w:r w:rsidRPr="00666488">
              <w:rPr>
                <w:rFonts w:eastAsia="Calibri"/>
                <w:sz w:val="20"/>
                <w:szCs w:val="20"/>
                <w:lang w:eastAsia="en-US"/>
              </w:rPr>
              <w:t xml:space="preserve">    Последний акт, составленный при исполнении договора, должен быть подписан не ранее чем за 5 лет до даты окончания срока подачи заявок.</w:t>
            </w:r>
          </w:p>
          <w:p w:rsidR="00387BC4" w:rsidRPr="00666488" w:rsidRDefault="00387BC4" w:rsidP="00387BC4">
            <w:pPr>
              <w:jc w:val="both"/>
              <w:rPr>
                <w:rFonts w:eastAsia="Calibri"/>
                <w:sz w:val="20"/>
                <w:szCs w:val="20"/>
                <w:lang w:eastAsia="en-US"/>
              </w:rPr>
            </w:pPr>
            <w:r w:rsidRPr="00666488">
              <w:rPr>
                <w:rFonts w:eastAsia="Calibri"/>
                <w:sz w:val="20"/>
                <w:szCs w:val="20"/>
                <w:lang w:eastAsia="en-US"/>
              </w:rPr>
              <w:t xml:space="preserve">    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 </w:t>
            </w:r>
          </w:p>
          <w:p w:rsidR="00387BC4" w:rsidRPr="00666488" w:rsidRDefault="00387BC4" w:rsidP="006C2FCC">
            <w:pPr>
              <w:jc w:val="both"/>
              <w:rPr>
                <w:rFonts w:eastAsia="Calibri"/>
                <w:sz w:val="20"/>
                <w:szCs w:val="20"/>
                <w:lang w:eastAsia="en-US"/>
              </w:rPr>
            </w:pPr>
            <w:r w:rsidRPr="00666488">
              <w:rPr>
                <w:rFonts w:eastAsia="Calibri"/>
                <w:sz w:val="20"/>
                <w:szCs w:val="20"/>
                <w:lang w:eastAsia="en-US"/>
              </w:rPr>
              <w:t xml:space="preserve">    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B21298" w:rsidRPr="00666488" w:rsidRDefault="006C2FCC" w:rsidP="0080222A">
            <w:pPr>
              <w:jc w:val="both"/>
              <w:rPr>
                <w:rFonts w:eastAsia="Calibri"/>
                <w:sz w:val="20"/>
                <w:szCs w:val="20"/>
                <w:lang w:eastAsia="en-US"/>
              </w:rPr>
            </w:pPr>
            <w:r w:rsidRPr="00666488">
              <w:rPr>
                <w:rFonts w:eastAsia="Calibri"/>
                <w:sz w:val="20"/>
                <w:szCs w:val="20"/>
                <w:lang w:eastAsia="en-US"/>
              </w:rPr>
              <w:t xml:space="preserve">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 </w:t>
            </w:r>
          </w:p>
        </w:tc>
      </w:tr>
      <w:tr w:rsidR="00E12C6E" w:rsidRPr="006C2FCC" w:rsidTr="006F6929">
        <w:tc>
          <w:tcPr>
            <w:tcW w:w="795" w:type="dxa"/>
            <w:shd w:val="clear" w:color="auto" w:fill="auto"/>
          </w:tcPr>
          <w:p w:rsidR="00E12C6E" w:rsidRPr="006C2FCC" w:rsidRDefault="00E12C6E" w:rsidP="00CF508D">
            <w:pPr>
              <w:rPr>
                <w:rFonts w:eastAsia="Calibri"/>
                <w:bCs/>
                <w:sz w:val="20"/>
                <w:szCs w:val="20"/>
                <w:lang w:eastAsia="en-US"/>
              </w:rPr>
            </w:pPr>
          </w:p>
        </w:tc>
        <w:tc>
          <w:tcPr>
            <w:tcW w:w="4025" w:type="dxa"/>
            <w:shd w:val="clear" w:color="auto" w:fill="auto"/>
          </w:tcPr>
          <w:p w:rsidR="00E12C6E" w:rsidRPr="006C2FCC" w:rsidRDefault="00E12C6E" w:rsidP="00CF508D">
            <w:pPr>
              <w:ind w:right="-39"/>
              <w:rPr>
                <w:rFonts w:eastAsia="Arial"/>
                <w:sz w:val="20"/>
                <w:szCs w:val="20"/>
              </w:rPr>
            </w:pPr>
            <w:r w:rsidRPr="006C2FCC">
              <w:rPr>
                <w:rFonts w:eastAsia="Arial"/>
                <w:sz w:val="20"/>
                <w:szCs w:val="20"/>
              </w:rPr>
              <w:t>2.3</w:t>
            </w:r>
            <w:r w:rsidRPr="006C2FCC">
              <w:rPr>
                <w:color w:val="000000"/>
                <w:sz w:val="20"/>
                <w:szCs w:val="20"/>
              </w:rPr>
              <w:t xml:space="preserve"> Наличие у участников закупки финансовых ресурсов</w:t>
            </w:r>
          </w:p>
        </w:tc>
        <w:tc>
          <w:tcPr>
            <w:tcW w:w="11482" w:type="dxa"/>
            <w:shd w:val="clear" w:color="auto" w:fill="auto"/>
          </w:tcPr>
          <w:tbl>
            <w:tblPr>
              <w:tblpPr w:leftFromText="180" w:rightFromText="180" w:vertAnchor="page" w:horzAnchor="margin" w:tblpY="2410"/>
              <w:tblOverlap w:val="neve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181"/>
              <w:gridCol w:w="3402"/>
              <w:gridCol w:w="4859"/>
            </w:tblGrid>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 п/п</w:t>
                  </w:r>
                </w:p>
              </w:tc>
              <w:tc>
                <w:tcPr>
                  <w:tcW w:w="2181"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Наименование показателя</w:t>
                  </w:r>
                </w:p>
              </w:tc>
              <w:tc>
                <w:tcPr>
                  <w:tcW w:w="3402"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Описание</w:t>
                  </w:r>
                </w:p>
              </w:tc>
              <w:tc>
                <w:tcPr>
                  <w:tcW w:w="485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Методика расчета</w:t>
                  </w:r>
                </w:p>
              </w:tc>
            </w:tr>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1</w:t>
                  </w:r>
                </w:p>
              </w:tc>
              <w:tc>
                <w:tcPr>
                  <w:tcW w:w="2181" w:type="dxa"/>
                  <w:shd w:val="clear" w:color="auto" w:fill="auto"/>
                </w:tcPr>
                <w:p w:rsidR="00975C8B" w:rsidRPr="006C2FCC" w:rsidRDefault="00975C8B" w:rsidP="00F956E5">
                  <w:pPr>
                    <w:rPr>
                      <w:rFonts w:eastAsia="Calibri"/>
                      <w:sz w:val="20"/>
                      <w:szCs w:val="20"/>
                    </w:rPr>
                  </w:pPr>
                  <w:r w:rsidRPr="006C2FCC">
                    <w:rPr>
                      <w:rFonts w:eastAsia="Calibri"/>
                      <w:sz w:val="20"/>
                      <w:szCs w:val="20"/>
                    </w:rPr>
                    <w:t>Стоимость чистых активов</w:t>
                  </w:r>
                </w:p>
              </w:tc>
              <w:tc>
                <w:tcPr>
                  <w:tcW w:w="3402" w:type="dxa"/>
                  <w:shd w:val="clear" w:color="auto" w:fill="auto"/>
                </w:tcPr>
                <w:p w:rsidR="00975C8B" w:rsidRPr="006C2FCC" w:rsidRDefault="00975C8B" w:rsidP="00F956E5">
                  <w:pPr>
                    <w:rPr>
                      <w:rFonts w:eastAsia="Calibri"/>
                      <w:sz w:val="20"/>
                      <w:szCs w:val="20"/>
                    </w:rPr>
                  </w:pPr>
                  <w:r w:rsidRPr="006C2FCC">
                    <w:rPr>
                      <w:rFonts w:eastAsia="Calibri"/>
                      <w:sz w:val="20"/>
                      <w:szCs w:val="20"/>
                    </w:rPr>
                    <w:t>Разница между балансовой стоимостью и суммой долговых обязательств компании</w:t>
                  </w:r>
                </w:p>
              </w:tc>
              <w:tc>
                <w:tcPr>
                  <w:tcW w:w="4859" w:type="dxa"/>
                  <w:shd w:val="clear" w:color="auto" w:fill="auto"/>
                </w:tcPr>
                <w:p w:rsidR="00975C8B" w:rsidRPr="006C2FCC" w:rsidRDefault="00975C8B" w:rsidP="00F956E5">
                  <w:pPr>
                    <w:rPr>
                      <w:rFonts w:eastAsia="Calibri"/>
                      <w:sz w:val="20"/>
                      <w:szCs w:val="20"/>
                    </w:rPr>
                  </w:pPr>
                  <w:r w:rsidRPr="006C2FCC">
                    <w:rPr>
                      <w:rFonts w:eastAsia="Calibri"/>
                      <w:sz w:val="20"/>
                      <w:szCs w:val="20"/>
                    </w:rPr>
                    <w:t>СЧА = Активы баланса (Форма № 1 стр.1600) – Долгосрочные обязательства (Форма № 1 стр.1400) – Краткосрочные обязательства (Форма № 1 стр.1500)</w:t>
                  </w:r>
                </w:p>
              </w:tc>
            </w:tr>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2</w:t>
                  </w:r>
                </w:p>
              </w:tc>
              <w:tc>
                <w:tcPr>
                  <w:tcW w:w="2181" w:type="dxa"/>
                  <w:shd w:val="clear" w:color="auto" w:fill="auto"/>
                </w:tcPr>
                <w:p w:rsidR="00975C8B" w:rsidRPr="006C2FCC" w:rsidRDefault="00975C8B" w:rsidP="00F956E5">
                  <w:pPr>
                    <w:rPr>
                      <w:rFonts w:eastAsia="Calibri"/>
                      <w:sz w:val="20"/>
                      <w:szCs w:val="20"/>
                    </w:rPr>
                  </w:pPr>
                  <w:r w:rsidRPr="006C2FCC">
                    <w:rPr>
                      <w:rFonts w:eastAsia="Calibri"/>
                      <w:sz w:val="20"/>
                      <w:szCs w:val="20"/>
                    </w:rPr>
                    <w:t xml:space="preserve">Коэффициент обеспеченности </w:t>
                  </w:r>
                  <w:r w:rsidRPr="006C2FCC">
                    <w:rPr>
                      <w:rFonts w:eastAsia="Calibri"/>
                      <w:sz w:val="20"/>
                      <w:szCs w:val="20"/>
                    </w:rPr>
                    <w:lastRenderedPageBreak/>
                    <w:t xml:space="preserve">собственными оборотными средствами </w:t>
                  </w:r>
                </w:p>
              </w:tc>
              <w:tc>
                <w:tcPr>
                  <w:tcW w:w="3402" w:type="dxa"/>
                  <w:shd w:val="clear" w:color="auto" w:fill="auto"/>
                </w:tcPr>
                <w:p w:rsidR="00975C8B" w:rsidRPr="006C2FCC" w:rsidRDefault="00975C8B" w:rsidP="00F956E5">
                  <w:pPr>
                    <w:rPr>
                      <w:rFonts w:eastAsia="Calibri"/>
                      <w:sz w:val="20"/>
                      <w:szCs w:val="20"/>
                    </w:rPr>
                  </w:pPr>
                  <w:r w:rsidRPr="006C2FCC">
                    <w:rPr>
                      <w:rFonts w:eastAsia="Calibri"/>
                      <w:sz w:val="20"/>
                      <w:szCs w:val="20"/>
                    </w:rPr>
                    <w:lastRenderedPageBreak/>
                    <w:t>Отношение собственных средств к оборотным активам</w:t>
                  </w:r>
                </w:p>
              </w:tc>
              <w:tc>
                <w:tcPr>
                  <w:tcW w:w="4859" w:type="dxa"/>
                  <w:shd w:val="clear" w:color="auto" w:fill="auto"/>
                </w:tcPr>
                <w:p w:rsidR="00975C8B" w:rsidRPr="006C2FCC" w:rsidRDefault="00975C8B" w:rsidP="00F956E5">
                  <w:pPr>
                    <w:rPr>
                      <w:rFonts w:eastAsia="Calibri"/>
                      <w:sz w:val="20"/>
                      <w:szCs w:val="20"/>
                    </w:rPr>
                  </w:pPr>
                  <w:r w:rsidRPr="006C2FCC">
                    <w:rPr>
                      <w:rFonts w:eastAsia="Calibri"/>
                      <w:sz w:val="20"/>
                      <w:szCs w:val="20"/>
                    </w:rPr>
                    <w:t xml:space="preserve">Коэффициент обеспеченности собственными оборотными средствами = (Собственный капитал </w:t>
                  </w:r>
                  <w:r w:rsidRPr="006C2FCC">
                    <w:rPr>
                      <w:rFonts w:eastAsia="Calibri"/>
                      <w:sz w:val="20"/>
                      <w:szCs w:val="20"/>
                    </w:rPr>
                    <w:lastRenderedPageBreak/>
                    <w:t xml:space="preserve">(Форма № 1, стр. 1300)- Внеоборотные активы (Форма № 1, стр. 1100))/ Оборотные активы (Форма № 1, стр. 1200) </w:t>
                  </w:r>
                </w:p>
              </w:tc>
            </w:tr>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lastRenderedPageBreak/>
                    <w:t>2</w:t>
                  </w:r>
                </w:p>
              </w:tc>
              <w:tc>
                <w:tcPr>
                  <w:tcW w:w="2181" w:type="dxa"/>
                  <w:shd w:val="clear" w:color="auto" w:fill="auto"/>
                </w:tcPr>
                <w:p w:rsidR="00975C8B" w:rsidRPr="006C2FCC" w:rsidRDefault="00975C8B" w:rsidP="00F956E5">
                  <w:pPr>
                    <w:rPr>
                      <w:rFonts w:eastAsia="Calibri"/>
                      <w:sz w:val="20"/>
                      <w:szCs w:val="20"/>
                    </w:rPr>
                  </w:pPr>
                  <w:r w:rsidRPr="006C2FCC">
                    <w:rPr>
                      <w:rFonts w:eastAsia="Calibri"/>
                      <w:sz w:val="20"/>
                      <w:szCs w:val="20"/>
                    </w:rPr>
                    <w:t>Коэффициент соизмеримости годовой выручки от основной деятельности с суммой договора (КСВ)</w:t>
                  </w:r>
                </w:p>
              </w:tc>
              <w:tc>
                <w:tcPr>
                  <w:tcW w:w="3402" w:type="dxa"/>
                  <w:shd w:val="clear" w:color="auto" w:fill="auto"/>
                </w:tcPr>
                <w:p w:rsidR="00975C8B" w:rsidRPr="006C2FCC" w:rsidRDefault="00975C8B" w:rsidP="00F956E5">
                  <w:pPr>
                    <w:rPr>
                      <w:rFonts w:eastAsia="Calibri"/>
                      <w:sz w:val="20"/>
                      <w:szCs w:val="20"/>
                    </w:rPr>
                  </w:pPr>
                  <w:bookmarkStart w:id="1" w:name="_GoBack"/>
                  <w:r w:rsidRPr="006C2FCC">
                    <w:rPr>
                      <w:rFonts w:eastAsia="Calibri"/>
                      <w:sz w:val="20"/>
                      <w:szCs w:val="20"/>
                    </w:rPr>
                    <w:t xml:space="preserve">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w:t>
                  </w:r>
                  <w:bookmarkEnd w:id="1"/>
                  <w:r w:rsidRPr="006C2FCC">
                    <w:rPr>
                      <w:rFonts w:eastAsia="Calibri"/>
                      <w:sz w:val="20"/>
                      <w:szCs w:val="20"/>
                    </w:rPr>
                    <w:t>(Форма № 2)</w:t>
                  </w:r>
                </w:p>
              </w:tc>
              <w:tc>
                <w:tcPr>
                  <w:tcW w:w="4859" w:type="dxa"/>
                  <w:shd w:val="clear" w:color="auto" w:fill="auto"/>
                </w:tcPr>
                <w:p w:rsidR="00975C8B" w:rsidRPr="006C2FCC" w:rsidRDefault="00975C8B" w:rsidP="00F956E5">
                  <w:pPr>
                    <w:rPr>
                      <w:rFonts w:eastAsia="Calibri"/>
                      <w:sz w:val="20"/>
                      <w:szCs w:val="20"/>
                      <w:u w:val="single"/>
                      <w:vertAlign w:val="superscript"/>
                    </w:rPr>
                  </w:pPr>
                  <w:r w:rsidRPr="006C2FCC">
                    <w:rPr>
                      <w:rFonts w:eastAsia="Calibri"/>
                      <w:noProof/>
                      <w:sz w:val="20"/>
                      <w:szCs w:val="20"/>
                    </w:rPr>
                    <w:t>КСВ</w:t>
                  </w:r>
                  <w:r w:rsidRPr="006C2FCC">
                    <w:rPr>
                      <w:rFonts w:eastAsia="Calibri"/>
                      <w:sz w:val="20"/>
                      <w:szCs w:val="20"/>
                    </w:rPr>
                    <w:t xml:space="preserve"> = </w:t>
                  </w:r>
                  <w:r w:rsidRPr="006C2FCC">
                    <w:rPr>
                      <w:rFonts w:eastAsia="Calibri"/>
                      <w:sz w:val="20"/>
                      <w:szCs w:val="20"/>
                      <w:u w:val="single"/>
                      <w:vertAlign w:val="superscript"/>
                    </w:rPr>
                    <w:t>Выручка х Р</w:t>
                  </w:r>
                </w:p>
                <w:p w:rsidR="00975C8B" w:rsidRPr="006C2FCC" w:rsidRDefault="00975C8B" w:rsidP="00F956E5">
                  <w:pPr>
                    <w:rPr>
                      <w:rFonts w:eastAsia="Calibri"/>
                      <w:sz w:val="20"/>
                      <w:szCs w:val="20"/>
                      <w:vertAlign w:val="superscript"/>
                    </w:rPr>
                  </w:pPr>
                  <w:r w:rsidRPr="006C2FCC">
                    <w:rPr>
                      <w:rFonts w:eastAsia="Calibri"/>
                      <w:sz w:val="20"/>
                      <w:szCs w:val="20"/>
                      <w:vertAlign w:val="superscript"/>
                    </w:rPr>
                    <w:t xml:space="preserve">                      12 х </w:t>
                  </w:r>
                  <w:r w:rsidRPr="006C2FCC">
                    <w:rPr>
                      <w:rFonts w:eastAsia="Calibri"/>
                      <w:sz w:val="20"/>
                      <w:szCs w:val="20"/>
                      <w:vertAlign w:val="superscript"/>
                      <w:lang w:val="en-US"/>
                    </w:rPr>
                    <w:t>S</w:t>
                  </w:r>
                </w:p>
                <w:p w:rsidR="00975C8B" w:rsidRPr="006C2FCC" w:rsidRDefault="00975C8B" w:rsidP="00F956E5">
                  <w:pPr>
                    <w:rPr>
                      <w:rFonts w:eastAsia="Calibri"/>
                      <w:sz w:val="20"/>
                      <w:szCs w:val="20"/>
                    </w:rPr>
                  </w:pPr>
                  <w:r w:rsidRPr="006C2FCC">
                    <w:rPr>
                      <w:rFonts w:eastAsia="Calibri"/>
                      <w:sz w:val="20"/>
                      <w:szCs w:val="20"/>
                    </w:rPr>
                    <w:t>где Выручка – стр.2110 Формы за последний отчетный завершенный период (год);</w:t>
                  </w:r>
                </w:p>
                <w:p w:rsidR="00975C8B" w:rsidRPr="006C2FCC" w:rsidRDefault="00975C8B" w:rsidP="00F956E5">
                  <w:pPr>
                    <w:rPr>
                      <w:rFonts w:eastAsia="Calibri"/>
                      <w:sz w:val="20"/>
                      <w:szCs w:val="20"/>
                    </w:rPr>
                  </w:pPr>
                  <w:r w:rsidRPr="006C2FCC">
                    <w:rPr>
                      <w:rFonts w:eastAsia="Calibri"/>
                      <w:sz w:val="20"/>
                      <w:szCs w:val="20"/>
                    </w:rPr>
                    <w:t>Р- период выполнения обязательств по договору (в месяцах),</w:t>
                  </w:r>
                </w:p>
                <w:p w:rsidR="00975C8B" w:rsidRPr="006C2FCC" w:rsidRDefault="00975C8B" w:rsidP="00F956E5">
                  <w:pPr>
                    <w:rPr>
                      <w:rFonts w:eastAsia="Calibri"/>
                      <w:sz w:val="20"/>
                      <w:szCs w:val="20"/>
                    </w:rPr>
                  </w:pPr>
                  <w:r w:rsidRPr="006C2FCC">
                    <w:rPr>
                      <w:rFonts w:eastAsia="Calibri"/>
                      <w:sz w:val="20"/>
                      <w:szCs w:val="20"/>
                      <w:lang w:val="en-US"/>
                    </w:rPr>
                    <w:t>S</w:t>
                  </w:r>
                  <w:r w:rsidRPr="00253A07">
                    <w:rPr>
                      <w:rFonts w:eastAsia="Calibri"/>
                      <w:sz w:val="20"/>
                      <w:szCs w:val="20"/>
                    </w:rPr>
                    <w:t xml:space="preserve"> – </w:t>
                  </w:r>
                  <w:r w:rsidRPr="006C2FCC">
                    <w:rPr>
                      <w:rFonts w:eastAsia="Calibri"/>
                      <w:sz w:val="20"/>
                      <w:szCs w:val="20"/>
                    </w:rPr>
                    <w:t xml:space="preserve">НМЦК </w:t>
                  </w:r>
                </w:p>
              </w:tc>
            </w:tr>
          </w:tbl>
          <w:p w:rsidR="00253A07" w:rsidRPr="00253A07"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253A07" w:rsidRPr="00253A07"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253A07" w:rsidRPr="00253A07"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E12C6E" w:rsidRPr="006C2FCC"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217E9F" w:rsidRDefault="00217E9F" w:rsidP="00E813CA">
      <w:pPr>
        <w:jc w:val="center"/>
        <w:rPr>
          <w:i/>
          <w:kern w:val="28"/>
          <w:sz w:val="26"/>
          <w:szCs w:val="26"/>
          <w:u w:val="single"/>
        </w:rPr>
      </w:pPr>
    </w:p>
    <w:p w:rsidR="00E813CA" w:rsidRPr="00A10800" w:rsidRDefault="00E813CA" w:rsidP="00E813CA">
      <w:pPr>
        <w:jc w:val="center"/>
        <w:rPr>
          <w:i/>
          <w:kern w:val="28"/>
          <w:sz w:val="26"/>
          <w:szCs w:val="26"/>
          <w:u w:val="single"/>
        </w:rPr>
      </w:pPr>
      <w:r w:rsidRPr="00A10800">
        <w:rPr>
          <w:i/>
          <w:kern w:val="28"/>
          <w:sz w:val="26"/>
          <w:szCs w:val="26"/>
          <w:u w:val="single"/>
        </w:rPr>
        <w:t>Рекомендуемая форма по заполнению заявок участников закупок в отношении критерия «Квалификация участников закупки»</w:t>
      </w:r>
    </w:p>
    <w:p w:rsidR="00E813CA" w:rsidRPr="00A4102F" w:rsidRDefault="00E813CA" w:rsidP="00E813CA">
      <w:pPr>
        <w:tabs>
          <w:tab w:val="left" w:pos="714"/>
          <w:tab w:val="left" w:pos="3555"/>
        </w:tabs>
        <w:jc w:val="center"/>
        <w:rPr>
          <w:bCs/>
          <w:color w:val="FF0000"/>
          <w:sz w:val="6"/>
          <w:szCs w:val="26"/>
        </w:rPr>
      </w:pPr>
    </w:p>
    <w:p w:rsidR="00C60535" w:rsidRPr="00A10800" w:rsidRDefault="00C60535" w:rsidP="00BF5F50">
      <w:pPr>
        <w:jc w:val="center"/>
        <w:rPr>
          <w:b/>
          <w:i/>
        </w:rPr>
      </w:pPr>
    </w:p>
    <w:p w:rsidR="00BF5F50" w:rsidRPr="00A10800" w:rsidRDefault="00BF5F50" w:rsidP="00BF5F50">
      <w:pPr>
        <w:jc w:val="center"/>
        <w:rPr>
          <w:b/>
          <w:i/>
        </w:rPr>
      </w:pPr>
      <w:r w:rsidRPr="00A10800">
        <w:rPr>
          <w:b/>
          <w:i/>
        </w:rPr>
        <w:t>Показатель «наличие у участников закупки специалистов и иных работников определенного уровня квалификации»</w:t>
      </w:r>
    </w:p>
    <w:p w:rsidR="00BF5F50" w:rsidRPr="007B105A" w:rsidRDefault="00BF5F50" w:rsidP="00BF5F50">
      <w:pPr>
        <w:widowControl w:val="0"/>
        <w:rPr>
          <w:b/>
          <w:sz w:val="20"/>
          <w:szCs w:val="20"/>
          <w:lang w:eastAsia="en-US"/>
        </w:rPr>
      </w:pPr>
      <w:r w:rsidRPr="007B105A">
        <w:rPr>
          <w:b/>
          <w:sz w:val="20"/>
          <w:szCs w:val="20"/>
          <w:lang w:eastAsia="en-US"/>
        </w:rPr>
        <w:t xml:space="preserve">Таблица № </w:t>
      </w:r>
      <w:r w:rsidR="00FA3AF2" w:rsidRPr="007B105A">
        <w:rPr>
          <w:b/>
          <w:sz w:val="20"/>
          <w:szCs w:val="20"/>
          <w:lang w:eastAsia="en-US"/>
        </w:rPr>
        <w:t>1</w:t>
      </w:r>
    </w:p>
    <w:tbl>
      <w:tblPr>
        <w:tblW w:w="54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31"/>
        <w:gridCol w:w="2807"/>
        <w:gridCol w:w="4040"/>
        <w:gridCol w:w="5951"/>
      </w:tblGrid>
      <w:tr w:rsidR="00A10800" w:rsidRPr="00975C8B" w:rsidTr="00217E9F">
        <w:trPr>
          <w:trHeight w:val="323"/>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w:t>
            </w:r>
          </w:p>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п/п</w:t>
            </w:r>
          </w:p>
        </w:tc>
        <w:tc>
          <w:tcPr>
            <w:tcW w:w="582"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Фамилия, имя, отчество</w:t>
            </w:r>
          </w:p>
        </w:tc>
        <w:tc>
          <w:tcPr>
            <w:tcW w:w="892"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Трудовые книжки, сведения о трудовой деятельности (в т.ч. «Сведения о застрахованных лицах (форма СЗВ-М)»)</w:t>
            </w:r>
          </w:p>
        </w:tc>
        <w:tc>
          <w:tcPr>
            <w:tcW w:w="1284"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tabs>
                <w:tab w:val="left" w:pos="714"/>
                <w:tab w:val="left" w:pos="3555"/>
              </w:tabs>
              <w:spacing w:after="120" w:line="259" w:lineRule="auto"/>
              <w:jc w:val="center"/>
              <w:rPr>
                <w:bCs/>
                <w:sz w:val="20"/>
                <w:szCs w:val="20"/>
              </w:rPr>
            </w:pPr>
            <w:r w:rsidRPr="00975C8B">
              <w:rPr>
                <w:bCs/>
                <w:sz w:val="20"/>
                <w:szCs w:val="20"/>
              </w:rPr>
              <w:t>Реквизиты документов, подтверждающих квалификацию специалистов и иных работников (дипломы, свидетельства, сертификаты и т.п.)</w:t>
            </w: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FE25B7">
            <w:pPr>
              <w:widowControl w:val="0"/>
              <w:tabs>
                <w:tab w:val="left" w:pos="714"/>
                <w:tab w:val="left" w:pos="3555"/>
              </w:tabs>
              <w:spacing w:after="120" w:line="259" w:lineRule="auto"/>
              <w:jc w:val="center"/>
              <w:rPr>
                <w:bCs/>
                <w:sz w:val="20"/>
                <w:szCs w:val="20"/>
              </w:rPr>
            </w:pPr>
            <w:r w:rsidRPr="00975C8B">
              <w:rPr>
                <w:bCs/>
                <w:sz w:val="20"/>
                <w:szCs w:val="20"/>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w:t>
            </w:r>
          </w:p>
        </w:tc>
      </w:tr>
      <w:tr w:rsidR="00A10800" w:rsidRPr="00975C8B" w:rsidTr="00217E9F">
        <w:trPr>
          <w:trHeight w:val="208"/>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b/>
                <w:sz w:val="20"/>
                <w:szCs w:val="20"/>
                <w:lang w:eastAsia="en-US"/>
              </w:rPr>
            </w:pPr>
            <w:r w:rsidRPr="00975C8B">
              <w:rPr>
                <w:b/>
                <w:bCs/>
                <w:sz w:val="20"/>
                <w:szCs w:val="20"/>
                <w:lang w:eastAsia="en-US"/>
              </w:rPr>
              <w:t>1</w:t>
            </w:r>
          </w:p>
        </w:tc>
        <w:tc>
          <w:tcPr>
            <w:tcW w:w="58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1284"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r>
      <w:tr w:rsidR="00A10800" w:rsidRPr="00975C8B" w:rsidTr="00217E9F">
        <w:trPr>
          <w:trHeight w:val="208"/>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b/>
                <w:bCs/>
                <w:sz w:val="20"/>
                <w:szCs w:val="20"/>
                <w:lang w:eastAsia="en-US"/>
              </w:rPr>
            </w:pPr>
            <w:r w:rsidRPr="00975C8B">
              <w:rPr>
                <w:b/>
                <w:bCs/>
                <w:sz w:val="20"/>
                <w:szCs w:val="20"/>
                <w:lang w:eastAsia="en-US"/>
              </w:rPr>
              <w:t>…</w:t>
            </w:r>
          </w:p>
        </w:tc>
        <w:tc>
          <w:tcPr>
            <w:tcW w:w="58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1284"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r>
    </w:tbl>
    <w:p w:rsidR="00975C8B" w:rsidRDefault="00975C8B" w:rsidP="00975C8B">
      <w:pPr>
        <w:widowControl w:val="0"/>
        <w:jc w:val="center"/>
        <w:rPr>
          <w:b/>
          <w:i/>
        </w:rPr>
      </w:pPr>
      <w:r w:rsidRPr="00975C8B">
        <w:rPr>
          <w:b/>
          <w:i/>
          <w:lang w:eastAsia="en-US"/>
        </w:rPr>
        <w:t xml:space="preserve">Показатель </w:t>
      </w:r>
      <w:r w:rsidRPr="00975C8B">
        <w:rPr>
          <w:b/>
          <w:i/>
        </w:rPr>
        <w:t>«наличие у участников закупки опыта поставки товара, выполнения работы, оказания услуги, связанного с предметом контракта»</w:t>
      </w:r>
    </w:p>
    <w:p w:rsidR="00975C8B" w:rsidRPr="007B105A" w:rsidRDefault="00975C8B" w:rsidP="00975C8B">
      <w:pPr>
        <w:widowControl w:val="0"/>
        <w:rPr>
          <w:b/>
          <w:sz w:val="20"/>
          <w:szCs w:val="20"/>
          <w:lang w:eastAsia="en-US"/>
        </w:rPr>
      </w:pPr>
      <w:r w:rsidRPr="007B105A">
        <w:rPr>
          <w:b/>
          <w:sz w:val="20"/>
          <w:szCs w:val="20"/>
          <w:lang w:eastAsia="en-US"/>
        </w:rPr>
        <w:t>Таблица № 2</w:t>
      </w: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874"/>
        <w:gridCol w:w="11019"/>
      </w:tblGrid>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Наименование показателя</w:t>
            </w:r>
          </w:p>
        </w:tc>
        <w:tc>
          <w:tcPr>
            <w:tcW w:w="11019"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Предложение участника закупки</w:t>
            </w:r>
          </w:p>
          <w:p w:rsidR="00975C8B" w:rsidRPr="00975C8B" w:rsidRDefault="00975C8B" w:rsidP="00483BE8">
            <w:pPr>
              <w:widowControl w:val="0"/>
              <w:tabs>
                <w:tab w:val="num" w:pos="1980"/>
              </w:tabs>
              <w:jc w:val="center"/>
              <w:rPr>
                <w:sz w:val="20"/>
                <w:szCs w:val="20"/>
              </w:rPr>
            </w:pPr>
            <w:r w:rsidRPr="00975C8B">
              <w:rPr>
                <w:b/>
                <w:sz w:val="20"/>
                <w:szCs w:val="20"/>
              </w:rPr>
              <w:t>(с описанием по конкретному показателю)</w:t>
            </w: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1.</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iCs/>
                <w:color w:val="000000"/>
                <w:sz w:val="20"/>
                <w:szCs w:val="20"/>
              </w:rPr>
            </w:pP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2.</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3.</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ind w:right="-1"/>
              <w:rPr>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bl>
    <w:p w:rsidR="00FE25B7" w:rsidRPr="00975C8B" w:rsidRDefault="00FE25B7" w:rsidP="00FE25B7">
      <w:pPr>
        <w:keepNext/>
        <w:keepLines/>
        <w:spacing w:line="240" w:lineRule="atLeast"/>
        <w:jc w:val="both"/>
        <w:outlineLvl w:val="0"/>
        <w:rPr>
          <w:b/>
          <w:i/>
          <w:caps/>
          <w:color w:val="FF0000"/>
          <w:kern w:val="28"/>
        </w:rPr>
      </w:pPr>
    </w:p>
    <w:p w:rsidR="00975C8B" w:rsidRDefault="00975C8B" w:rsidP="00975C8B">
      <w:pPr>
        <w:autoSpaceDE w:val="0"/>
        <w:autoSpaceDN w:val="0"/>
        <w:adjustRightInd w:val="0"/>
        <w:jc w:val="center"/>
        <w:rPr>
          <w:b/>
          <w:i/>
        </w:rPr>
      </w:pPr>
      <w:r w:rsidRPr="00975C8B">
        <w:rPr>
          <w:b/>
          <w:i/>
          <w:lang w:eastAsia="en-US"/>
        </w:rPr>
        <w:t xml:space="preserve">Показатель </w:t>
      </w:r>
      <w:r w:rsidRPr="00975C8B">
        <w:rPr>
          <w:b/>
          <w:i/>
        </w:rPr>
        <w:t>«</w:t>
      </w:r>
      <w:r w:rsidRPr="00975C8B">
        <w:rPr>
          <w:rFonts w:eastAsia="Calibri"/>
          <w:b/>
          <w:bCs/>
          <w:i/>
          <w:lang w:eastAsia="en-US"/>
        </w:rPr>
        <w:t>наличие у участника закупки финансовых ресурсов по данным бухгалтерской отчетности за _____ год</w:t>
      </w:r>
      <w:r w:rsidRPr="00975C8B">
        <w:rPr>
          <w:b/>
          <w:i/>
        </w:rPr>
        <w:t>»</w:t>
      </w:r>
    </w:p>
    <w:p w:rsidR="007B105A" w:rsidRPr="007B105A" w:rsidRDefault="007B105A" w:rsidP="007B105A">
      <w:pPr>
        <w:autoSpaceDE w:val="0"/>
        <w:autoSpaceDN w:val="0"/>
        <w:adjustRightInd w:val="0"/>
        <w:rPr>
          <w:b/>
          <w:sz w:val="20"/>
          <w:szCs w:val="20"/>
        </w:rPr>
      </w:pPr>
      <w:r w:rsidRPr="007B105A">
        <w:rPr>
          <w:b/>
          <w:sz w:val="20"/>
          <w:szCs w:val="20"/>
        </w:rPr>
        <w:t>Таблица № 3</w:t>
      </w: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42"/>
        <w:gridCol w:w="3795"/>
        <w:gridCol w:w="6521"/>
        <w:gridCol w:w="2693"/>
      </w:tblGrid>
      <w:tr w:rsidR="00975C8B" w:rsidRPr="00162905" w:rsidTr="006F6929">
        <w:tc>
          <w:tcPr>
            <w:tcW w:w="513"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 п/п</w:t>
            </w:r>
          </w:p>
        </w:tc>
        <w:tc>
          <w:tcPr>
            <w:tcW w:w="2242"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Наименование показателя</w:t>
            </w:r>
          </w:p>
        </w:tc>
        <w:tc>
          <w:tcPr>
            <w:tcW w:w="3795"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Описание</w:t>
            </w:r>
          </w:p>
        </w:tc>
        <w:tc>
          <w:tcPr>
            <w:tcW w:w="6521"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Методика расчета</w:t>
            </w:r>
          </w:p>
        </w:tc>
        <w:tc>
          <w:tcPr>
            <w:tcW w:w="2693"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Показатель за календарный отчетный период (год)</w:t>
            </w:r>
          </w:p>
        </w:tc>
      </w:tr>
      <w:tr w:rsidR="00975C8B" w:rsidRPr="00162905" w:rsidTr="006F6929">
        <w:tc>
          <w:tcPr>
            <w:tcW w:w="513" w:type="dxa"/>
            <w:shd w:val="clear" w:color="auto" w:fill="auto"/>
          </w:tcPr>
          <w:p w:rsidR="00975C8B" w:rsidRPr="00162905" w:rsidRDefault="00975C8B" w:rsidP="00483BE8">
            <w:pPr>
              <w:jc w:val="center"/>
              <w:rPr>
                <w:rFonts w:eastAsia="Calibri"/>
                <w:sz w:val="20"/>
                <w:szCs w:val="20"/>
              </w:rPr>
            </w:pPr>
            <w:r w:rsidRPr="00162905">
              <w:rPr>
                <w:rFonts w:eastAsia="Calibri"/>
                <w:sz w:val="20"/>
                <w:szCs w:val="20"/>
              </w:rPr>
              <w:lastRenderedPageBreak/>
              <w:t>1</w:t>
            </w:r>
          </w:p>
        </w:tc>
        <w:tc>
          <w:tcPr>
            <w:tcW w:w="2242" w:type="dxa"/>
            <w:shd w:val="clear" w:color="auto" w:fill="auto"/>
          </w:tcPr>
          <w:p w:rsidR="00975C8B" w:rsidRPr="00162905" w:rsidRDefault="00975C8B" w:rsidP="00483BE8">
            <w:pPr>
              <w:rPr>
                <w:rFonts w:eastAsia="Calibri"/>
                <w:sz w:val="20"/>
                <w:szCs w:val="20"/>
              </w:rPr>
            </w:pPr>
            <w:r w:rsidRPr="00162905">
              <w:rPr>
                <w:rFonts w:eastAsia="Calibri"/>
                <w:sz w:val="20"/>
                <w:szCs w:val="20"/>
              </w:rPr>
              <w:t>Стоимость чистых активов</w:t>
            </w:r>
          </w:p>
        </w:tc>
        <w:tc>
          <w:tcPr>
            <w:tcW w:w="3795" w:type="dxa"/>
            <w:shd w:val="clear" w:color="auto" w:fill="auto"/>
          </w:tcPr>
          <w:p w:rsidR="00975C8B" w:rsidRPr="00162905" w:rsidRDefault="00975C8B" w:rsidP="00483BE8">
            <w:pPr>
              <w:rPr>
                <w:rFonts w:eastAsia="Calibri"/>
                <w:sz w:val="20"/>
                <w:szCs w:val="20"/>
              </w:rPr>
            </w:pPr>
            <w:r w:rsidRPr="00162905">
              <w:rPr>
                <w:rFonts w:eastAsia="Calibri"/>
                <w:sz w:val="20"/>
                <w:szCs w:val="20"/>
              </w:rPr>
              <w:t>Разница между балансовой стоимостью и суммой долговых обязательств компании</w:t>
            </w:r>
          </w:p>
        </w:tc>
        <w:tc>
          <w:tcPr>
            <w:tcW w:w="6521" w:type="dxa"/>
            <w:shd w:val="clear" w:color="auto" w:fill="auto"/>
          </w:tcPr>
          <w:p w:rsidR="00975C8B" w:rsidRPr="00162905" w:rsidRDefault="00975C8B" w:rsidP="00483BE8">
            <w:pPr>
              <w:rPr>
                <w:rFonts w:eastAsia="Calibri"/>
                <w:sz w:val="20"/>
                <w:szCs w:val="20"/>
              </w:rPr>
            </w:pPr>
            <w:r w:rsidRPr="00162905">
              <w:rPr>
                <w:rFonts w:eastAsia="Calibri"/>
                <w:sz w:val="20"/>
                <w:szCs w:val="20"/>
              </w:rPr>
              <w:t>СЧА = Активы баланса (Форма № 1 стр.1600) – Долгосрочные обязательства (Форма № 1 стр.1400) – Краткосрочные обязательства (Форма № 1 стр.1500)</w:t>
            </w:r>
          </w:p>
        </w:tc>
        <w:tc>
          <w:tcPr>
            <w:tcW w:w="2693" w:type="dxa"/>
            <w:shd w:val="clear" w:color="auto" w:fill="auto"/>
          </w:tcPr>
          <w:p w:rsidR="00975C8B" w:rsidRPr="00162905" w:rsidRDefault="00975C8B" w:rsidP="00483BE8">
            <w:pPr>
              <w:jc w:val="center"/>
              <w:rPr>
                <w:rFonts w:eastAsia="Calibri"/>
                <w:i/>
                <w:iCs/>
                <w:sz w:val="20"/>
                <w:szCs w:val="20"/>
              </w:rPr>
            </w:pPr>
            <w:r w:rsidRPr="00162905">
              <w:rPr>
                <w:rFonts w:eastAsia="Calibri"/>
                <w:i/>
                <w:iCs/>
                <w:sz w:val="20"/>
                <w:szCs w:val="20"/>
              </w:rPr>
              <w:t>Заполняется участником закупки из данных бухгалтерской отчетности</w:t>
            </w:r>
          </w:p>
        </w:tc>
      </w:tr>
      <w:tr w:rsidR="00975C8B" w:rsidRPr="00162905" w:rsidTr="006F6929">
        <w:tc>
          <w:tcPr>
            <w:tcW w:w="513" w:type="dxa"/>
            <w:shd w:val="clear" w:color="auto" w:fill="auto"/>
          </w:tcPr>
          <w:p w:rsidR="00975C8B" w:rsidRPr="00162905" w:rsidRDefault="00975C8B" w:rsidP="00483BE8">
            <w:pPr>
              <w:jc w:val="center"/>
              <w:rPr>
                <w:rFonts w:eastAsia="Calibri"/>
                <w:sz w:val="20"/>
                <w:szCs w:val="20"/>
              </w:rPr>
            </w:pPr>
            <w:r w:rsidRPr="00162905">
              <w:rPr>
                <w:rFonts w:eastAsia="Calibri"/>
                <w:sz w:val="20"/>
                <w:szCs w:val="20"/>
              </w:rPr>
              <w:t>2</w:t>
            </w:r>
          </w:p>
        </w:tc>
        <w:tc>
          <w:tcPr>
            <w:tcW w:w="2242" w:type="dxa"/>
            <w:shd w:val="clear" w:color="auto" w:fill="auto"/>
          </w:tcPr>
          <w:p w:rsidR="00975C8B" w:rsidRPr="00162905" w:rsidRDefault="00975C8B" w:rsidP="00483BE8">
            <w:pPr>
              <w:rPr>
                <w:rFonts w:eastAsia="Calibri"/>
                <w:sz w:val="20"/>
                <w:szCs w:val="20"/>
              </w:rPr>
            </w:pPr>
            <w:r w:rsidRPr="00162905">
              <w:rPr>
                <w:rFonts w:eastAsia="Calibri"/>
                <w:sz w:val="20"/>
                <w:szCs w:val="20"/>
              </w:rPr>
              <w:t xml:space="preserve">Коэффициент обеспеченности собственными оборотными средствами </w:t>
            </w:r>
          </w:p>
        </w:tc>
        <w:tc>
          <w:tcPr>
            <w:tcW w:w="3795" w:type="dxa"/>
            <w:shd w:val="clear" w:color="auto" w:fill="auto"/>
          </w:tcPr>
          <w:p w:rsidR="00975C8B" w:rsidRPr="00162905" w:rsidRDefault="00975C8B" w:rsidP="00483BE8">
            <w:pPr>
              <w:rPr>
                <w:rFonts w:eastAsia="Calibri"/>
                <w:sz w:val="20"/>
                <w:szCs w:val="20"/>
              </w:rPr>
            </w:pPr>
            <w:r w:rsidRPr="00162905">
              <w:rPr>
                <w:rFonts w:eastAsia="Calibri"/>
                <w:sz w:val="20"/>
                <w:szCs w:val="20"/>
              </w:rPr>
              <w:t>Отношение собственных средств к оборотным активам</w:t>
            </w:r>
          </w:p>
        </w:tc>
        <w:tc>
          <w:tcPr>
            <w:tcW w:w="6521" w:type="dxa"/>
            <w:shd w:val="clear" w:color="auto" w:fill="auto"/>
          </w:tcPr>
          <w:p w:rsidR="00975C8B" w:rsidRPr="00162905" w:rsidRDefault="00975C8B" w:rsidP="00483BE8">
            <w:pPr>
              <w:rPr>
                <w:rFonts w:eastAsia="Calibri"/>
                <w:sz w:val="20"/>
                <w:szCs w:val="20"/>
              </w:rPr>
            </w:pPr>
            <w:r w:rsidRPr="00162905">
              <w:rPr>
                <w:rFonts w:eastAsia="Calibri"/>
                <w:sz w:val="20"/>
                <w:szCs w:val="20"/>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693" w:type="dxa"/>
            <w:shd w:val="clear" w:color="auto" w:fill="auto"/>
          </w:tcPr>
          <w:p w:rsidR="00975C8B" w:rsidRPr="00162905" w:rsidRDefault="00975C8B" w:rsidP="00483BE8">
            <w:pPr>
              <w:jc w:val="center"/>
              <w:rPr>
                <w:rFonts w:eastAsia="Calibri"/>
                <w:i/>
                <w:iCs/>
                <w:sz w:val="20"/>
                <w:szCs w:val="20"/>
              </w:rPr>
            </w:pPr>
            <w:r w:rsidRPr="00162905">
              <w:rPr>
                <w:rFonts w:eastAsia="Calibri"/>
                <w:i/>
                <w:iCs/>
                <w:sz w:val="20"/>
                <w:szCs w:val="20"/>
              </w:rPr>
              <w:t>Заполняется участником закупки из данных бухгалтерской отчетности</w:t>
            </w:r>
          </w:p>
        </w:tc>
      </w:tr>
      <w:tr w:rsidR="00975C8B" w:rsidRPr="00162905" w:rsidTr="006F6929">
        <w:tc>
          <w:tcPr>
            <w:tcW w:w="513" w:type="dxa"/>
            <w:shd w:val="clear" w:color="auto" w:fill="auto"/>
          </w:tcPr>
          <w:p w:rsidR="00975C8B" w:rsidRPr="00162905" w:rsidRDefault="00975C8B" w:rsidP="00483BE8">
            <w:pPr>
              <w:jc w:val="center"/>
              <w:rPr>
                <w:rFonts w:eastAsia="Calibri"/>
                <w:sz w:val="20"/>
                <w:szCs w:val="20"/>
              </w:rPr>
            </w:pPr>
            <w:r>
              <w:rPr>
                <w:rFonts w:eastAsia="Calibri"/>
                <w:sz w:val="20"/>
                <w:szCs w:val="20"/>
              </w:rPr>
              <w:t>2</w:t>
            </w:r>
          </w:p>
        </w:tc>
        <w:tc>
          <w:tcPr>
            <w:tcW w:w="2242" w:type="dxa"/>
            <w:shd w:val="clear" w:color="auto" w:fill="auto"/>
          </w:tcPr>
          <w:p w:rsidR="00975C8B" w:rsidRPr="00162905" w:rsidRDefault="00975C8B" w:rsidP="00483BE8">
            <w:pPr>
              <w:rPr>
                <w:rFonts w:eastAsia="Calibri"/>
                <w:sz w:val="20"/>
                <w:szCs w:val="20"/>
              </w:rPr>
            </w:pPr>
            <w:r w:rsidRPr="00162905">
              <w:rPr>
                <w:rFonts w:eastAsia="Calibri"/>
                <w:sz w:val="20"/>
                <w:szCs w:val="20"/>
              </w:rPr>
              <w:t>Коэффициент соизмеримости годовой выручки от основной деятельности с суммой договора (КСВ)</w:t>
            </w:r>
          </w:p>
        </w:tc>
        <w:tc>
          <w:tcPr>
            <w:tcW w:w="3795" w:type="dxa"/>
            <w:shd w:val="clear" w:color="auto" w:fill="auto"/>
          </w:tcPr>
          <w:p w:rsidR="00975C8B" w:rsidRPr="00162905" w:rsidRDefault="00975C8B" w:rsidP="00483BE8">
            <w:pPr>
              <w:rPr>
                <w:rFonts w:eastAsia="Calibri"/>
                <w:sz w:val="20"/>
                <w:szCs w:val="20"/>
              </w:rPr>
            </w:pPr>
            <w:r w:rsidRPr="00162905">
              <w:rPr>
                <w:rFonts w:eastAsia="Calibri"/>
                <w:sz w:val="20"/>
                <w:szCs w:val="20"/>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6521" w:type="dxa"/>
            <w:shd w:val="clear" w:color="auto" w:fill="auto"/>
          </w:tcPr>
          <w:p w:rsidR="00975C8B" w:rsidRPr="00162905" w:rsidRDefault="00975C8B" w:rsidP="00483BE8">
            <w:pPr>
              <w:rPr>
                <w:rFonts w:eastAsia="Calibri"/>
                <w:sz w:val="20"/>
                <w:szCs w:val="20"/>
                <w:u w:val="single"/>
                <w:vertAlign w:val="superscript"/>
              </w:rPr>
            </w:pPr>
            <w:r w:rsidRPr="00162905">
              <w:rPr>
                <w:rFonts w:eastAsia="Calibri"/>
                <w:noProof/>
                <w:sz w:val="20"/>
                <w:szCs w:val="20"/>
              </w:rPr>
              <w:t>КСВ</w:t>
            </w:r>
            <w:r w:rsidRPr="00162905">
              <w:rPr>
                <w:rFonts w:eastAsia="Calibri"/>
                <w:sz w:val="20"/>
                <w:szCs w:val="20"/>
              </w:rPr>
              <w:t xml:space="preserve"> = </w:t>
            </w:r>
            <w:r w:rsidRPr="00162905">
              <w:rPr>
                <w:rFonts w:eastAsia="Calibri"/>
                <w:sz w:val="20"/>
                <w:szCs w:val="20"/>
                <w:u w:val="single"/>
                <w:vertAlign w:val="superscript"/>
              </w:rPr>
              <w:t>Выручка х Р</w:t>
            </w:r>
          </w:p>
          <w:p w:rsidR="00975C8B" w:rsidRPr="00162905" w:rsidRDefault="00975C8B" w:rsidP="00483BE8">
            <w:pPr>
              <w:rPr>
                <w:rFonts w:eastAsia="Calibri"/>
                <w:sz w:val="20"/>
                <w:szCs w:val="20"/>
                <w:vertAlign w:val="superscript"/>
              </w:rPr>
            </w:pPr>
            <w:r w:rsidRPr="00162905">
              <w:rPr>
                <w:rFonts w:eastAsia="Calibri"/>
                <w:sz w:val="20"/>
                <w:szCs w:val="20"/>
                <w:vertAlign w:val="superscript"/>
              </w:rPr>
              <w:t xml:space="preserve">                      12 х </w:t>
            </w:r>
            <w:r w:rsidRPr="00162905">
              <w:rPr>
                <w:rFonts w:eastAsia="Calibri"/>
                <w:sz w:val="20"/>
                <w:szCs w:val="20"/>
                <w:vertAlign w:val="superscript"/>
                <w:lang w:val="en-US"/>
              </w:rPr>
              <w:t>S</w:t>
            </w:r>
          </w:p>
          <w:p w:rsidR="00975C8B" w:rsidRPr="00162905" w:rsidRDefault="00975C8B" w:rsidP="00483BE8">
            <w:pPr>
              <w:rPr>
                <w:rFonts w:eastAsia="Calibri"/>
                <w:sz w:val="20"/>
                <w:szCs w:val="20"/>
              </w:rPr>
            </w:pPr>
            <w:r w:rsidRPr="00162905">
              <w:rPr>
                <w:rFonts w:eastAsia="Calibri"/>
                <w:sz w:val="20"/>
                <w:szCs w:val="20"/>
              </w:rPr>
              <w:t>где Выручка – стр.2110 Формы за последний отчетный завершенный период (год);</w:t>
            </w:r>
          </w:p>
          <w:p w:rsidR="00975C8B" w:rsidRPr="00162905" w:rsidRDefault="00975C8B" w:rsidP="00483BE8">
            <w:pPr>
              <w:rPr>
                <w:rFonts w:eastAsia="Calibri"/>
                <w:sz w:val="20"/>
                <w:szCs w:val="20"/>
              </w:rPr>
            </w:pPr>
            <w:r w:rsidRPr="00162905">
              <w:rPr>
                <w:rFonts w:eastAsia="Calibri"/>
                <w:sz w:val="20"/>
                <w:szCs w:val="20"/>
              </w:rPr>
              <w:t>Р- период выполнения обязательств по договору (в месяцах),</w:t>
            </w:r>
          </w:p>
          <w:p w:rsidR="00975C8B" w:rsidRPr="00162905" w:rsidRDefault="00975C8B" w:rsidP="00483BE8">
            <w:pPr>
              <w:rPr>
                <w:rFonts w:eastAsia="Calibri"/>
                <w:sz w:val="20"/>
                <w:szCs w:val="20"/>
              </w:rPr>
            </w:pPr>
            <w:r w:rsidRPr="00162905">
              <w:rPr>
                <w:rFonts w:eastAsia="Calibri"/>
                <w:sz w:val="20"/>
                <w:szCs w:val="20"/>
                <w:lang w:val="en-US"/>
              </w:rPr>
              <w:t xml:space="preserve">S – </w:t>
            </w:r>
            <w:r w:rsidRPr="00162905">
              <w:rPr>
                <w:rFonts w:eastAsia="Calibri"/>
                <w:sz w:val="20"/>
                <w:szCs w:val="20"/>
              </w:rPr>
              <w:t xml:space="preserve">НМЦК </w:t>
            </w:r>
          </w:p>
        </w:tc>
        <w:tc>
          <w:tcPr>
            <w:tcW w:w="2693" w:type="dxa"/>
            <w:shd w:val="clear" w:color="auto" w:fill="auto"/>
          </w:tcPr>
          <w:p w:rsidR="00975C8B" w:rsidRPr="00162905" w:rsidRDefault="00975C8B" w:rsidP="00483BE8">
            <w:pPr>
              <w:jc w:val="center"/>
              <w:rPr>
                <w:rFonts w:eastAsia="Calibri"/>
                <w:i/>
                <w:iCs/>
                <w:sz w:val="20"/>
                <w:szCs w:val="20"/>
              </w:rPr>
            </w:pPr>
            <w:r w:rsidRPr="00162905">
              <w:rPr>
                <w:rFonts w:eastAsia="Calibri"/>
                <w:i/>
                <w:iCs/>
                <w:sz w:val="20"/>
                <w:szCs w:val="20"/>
              </w:rPr>
              <w:t>Заполняется участником закупки из данных бухгалтерской отчетности</w:t>
            </w:r>
          </w:p>
        </w:tc>
      </w:tr>
    </w:tbl>
    <w:p w:rsidR="00975C8B" w:rsidRPr="00975C8B" w:rsidRDefault="00975C8B" w:rsidP="00975C8B">
      <w:pPr>
        <w:autoSpaceDE w:val="0"/>
        <w:autoSpaceDN w:val="0"/>
        <w:adjustRightInd w:val="0"/>
        <w:jc w:val="center"/>
        <w:rPr>
          <w:rFonts w:eastAsia="Calibri"/>
          <w:bCs/>
          <w:lang w:eastAsia="en-US"/>
        </w:rPr>
      </w:pPr>
    </w:p>
    <w:p w:rsidR="00356A7E" w:rsidRPr="00A4102F" w:rsidRDefault="00356A7E" w:rsidP="00740595">
      <w:pPr>
        <w:ind w:right="-39"/>
        <w:jc w:val="both"/>
        <w:rPr>
          <w:color w:val="FF0000"/>
        </w:rPr>
      </w:pPr>
    </w:p>
    <w:sectPr w:rsidR="00356A7E" w:rsidRPr="00A4102F" w:rsidSect="006C2FC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B2" w:rsidRDefault="007D7AB2" w:rsidP="00234AEF">
      <w:r>
        <w:separator/>
      </w:r>
    </w:p>
  </w:endnote>
  <w:endnote w:type="continuationSeparator" w:id="0">
    <w:p w:rsidR="007D7AB2" w:rsidRDefault="007D7AB2"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B2" w:rsidRDefault="007D7AB2" w:rsidP="00234AEF">
      <w:r>
        <w:separator/>
      </w:r>
    </w:p>
  </w:footnote>
  <w:footnote w:type="continuationSeparator" w:id="0">
    <w:p w:rsidR="007D7AB2" w:rsidRDefault="007D7AB2"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1210D"/>
    <w:rsid w:val="00046215"/>
    <w:rsid w:val="0006557B"/>
    <w:rsid w:val="000D6824"/>
    <w:rsid w:val="0012522C"/>
    <w:rsid w:val="00135D21"/>
    <w:rsid w:val="001755A6"/>
    <w:rsid w:val="0018277F"/>
    <w:rsid w:val="001A57F8"/>
    <w:rsid w:val="001C54DB"/>
    <w:rsid w:val="001F6A9E"/>
    <w:rsid w:val="0021125F"/>
    <w:rsid w:val="00217E9F"/>
    <w:rsid w:val="00234AEF"/>
    <w:rsid w:val="0024647E"/>
    <w:rsid w:val="00250D51"/>
    <w:rsid w:val="00253A07"/>
    <w:rsid w:val="0026089A"/>
    <w:rsid w:val="00263CF8"/>
    <w:rsid w:val="00290C77"/>
    <w:rsid w:val="00304662"/>
    <w:rsid w:val="0030482A"/>
    <w:rsid w:val="003347FE"/>
    <w:rsid w:val="00356A7E"/>
    <w:rsid w:val="00360ED0"/>
    <w:rsid w:val="00376B86"/>
    <w:rsid w:val="00381227"/>
    <w:rsid w:val="00387BC4"/>
    <w:rsid w:val="00392776"/>
    <w:rsid w:val="003B375E"/>
    <w:rsid w:val="003D4BF8"/>
    <w:rsid w:val="003E2C06"/>
    <w:rsid w:val="003F354E"/>
    <w:rsid w:val="00456B73"/>
    <w:rsid w:val="00484620"/>
    <w:rsid w:val="004917EA"/>
    <w:rsid w:val="004E2977"/>
    <w:rsid w:val="005201D8"/>
    <w:rsid w:val="00660861"/>
    <w:rsid w:val="00660ADC"/>
    <w:rsid w:val="00666488"/>
    <w:rsid w:val="006818C2"/>
    <w:rsid w:val="00696B81"/>
    <w:rsid w:val="006C2FCC"/>
    <w:rsid w:val="006E3259"/>
    <w:rsid w:val="006F6929"/>
    <w:rsid w:val="00740595"/>
    <w:rsid w:val="007B105A"/>
    <w:rsid w:val="007C6D09"/>
    <w:rsid w:val="007D2DEC"/>
    <w:rsid w:val="007D7AB2"/>
    <w:rsid w:val="007E5201"/>
    <w:rsid w:val="007E6D56"/>
    <w:rsid w:val="0080222A"/>
    <w:rsid w:val="00880C1E"/>
    <w:rsid w:val="008E70E0"/>
    <w:rsid w:val="009334F6"/>
    <w:rsid w:val="00975C8B"/>
    <w:rsid w:val="009A275F"/>
    <w:rsid w:val="009B23E0"/>
    <w:rsid w:val="00A10800"/>
    <w:rsid w:val="00A159AA"/>
    <w:rsid w:val="00A32091"/>
    <w:rsid w:val="00A37B31"/>
    <w:rsid w:val="00A4102F"/>
    <w:rsid w:val="00A5522D"/>
    <w:rsid w:val="00A6332B"/>
    <w:rsid w:val="00A95293"/>
    <w:rsid w:val="00AB0AA5"/>
    <w:rsid w:val="00AC79F5"/>
    <w:rsid w:val="00AD2BD6"/>
    <w:rsid w:val="00AD592A"/>
    <w:rsid w:val="00B21298"/>
    <w:rsid w:val="00B24C23"/>
    <w:rsid w:val="00B26D70"/>
    <w:rsid w:val="00B27BC5"/>
    <w:rsid w:val="00B50A3E"/>
    <w:rsid w:val="00B50B16"/>
    <w:rsid w:val="00B648FC"/>
    <w:rsid w:val="00BB0AE7"/>
    <w:rsid w:val="00BC0583"/>
    <w:rsid w:val="00BF5F50"/>
    <w:rsid w:val="00BF6283"/>
    <w:rsid w:val="00C02CB4"/>
    <w:rsid w:val="00C376BF"/>
    <w:rsid w:val="00C44807"/>
    <w:rsid w:val="00C60535"/>
    <w:rsid w:val="00C71691"/>
    <w:rsid w:val="00C97B77"/>
    <w:rsid w:val="00CA3676"/>
    <w:rsid w:val="00CB6130"/>
    <w:rsid w:val="00CF508D"/>
    <w:rsid w:val="00D519C3"/>
    <w:rsid w:val="00D777D9"/>
    <w:rsid w:val="00D8104F"/>
    <w:rsid w:val="00D84A23"/>
    <w:rsid w:val="00DA3F36"/>
    <w:rsid w:val="00DB6F0F"/>
    <w:rsid w:val="00E12C6E"/>
    <w:rsid w:val="00E2150D"/>
    <w:rsid w:val="00E37292"/>
    <w:rsid w:val="00E609EA"/>
    <w:rsid w:val="00E813CA"/>
    <w:rsid w:val="00E85291"/>
    <w:rsid w:val="00EA1191"/>
    <w:rsid w:val="00EB2184"/>
    <w:rsid w:val="00EB3CBA"/>
    <w:rsid w:val="00EC361B"/>
    <w:rsid w:val="00F35CDB"/>
    <w:rsid w:val="00F945C2"/>
    <w:rsid w:val="00F956E5"/>
    <w:rsid w:val="00F979FF"/>
    <w:rsid w:val="00FA3AF2"/>
    <w:rsid w:val="00FB77E3"/>
    <w:rsid w:val="00FC588D"/>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 w:type="paragraph" w:customStyle="1" w:styleId="5">
    <w:name w:val="Знак Знак5"/>
    <w:basedOn w:val="a"/>
    <w:rsid w:val="0012522C"/>
    <w:pPr>
      <w:spacing w:after="160" w:line="240" w:lineRule="exact"/>
    </w:pPr>
    <w:rPr>
      <w:rFonts w:ascii="Verdana" w:hAnsi="Verdana"/>
      <w:sz w:val="20"/>
      <w:szCs w:val="20"/>
      <w:lang w:val="en-US" w:eastAsia="en-US"/>
    </w:rPr>
  </w:style>
  <w:style w:type="paragraph" w:customStyle="1" w:styleId="50">
    <w:name w:val="Знак Знак5"/>
    <w:basedOn w:val="a"/>
    <w:rsid w:val="00975C8B"/>
    <w:pPr>
      <w:spacing w:after="160" w:line="240" w:lineRule="exact"/>
    </w:pPr>
    <w:rPr>
      <w:rFonts w:ascii="Verdana" w:hAnsi="Verdana"/>
      <w:sz w:val="20"/>
      <w:szCs w:val="20"/>
      <w:lang w:val="en-US" w:eastAsia="en-US"/>
    </w:rPr>
  </w:style>
  <w:style w:type="paragraph" w:customStyle="1" w:styleId="51">
    <w:name w:val="Знак Знак5"/>
    <w:basedOn w:val="a"/>
    <w:rsid w:val="004917E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68.fss.ru"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torgi@ro68.fs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2BFD-D89D-4202-A646-14DAEDDF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Павлинская Екатерина Петровна</cp:lastModifiedBy>
  <cp:revision>28</cp:revision>
  <cp:lastPrinted>2022-04-19T12:57:00Z</cp:lastPrinted>
  <dcterms:created xsi:type="dcterms:W3CDTF">2022-04-15T05:35:00Z</dcterms:created>
  <dcterms:modified xsi:type="dcterms:W3CDTF">2022-04-19T13:48:00Z</dcterms:modified>
</cp:coreProperties>
</file>