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0E" w:rsidRDefault="0084590E" w:rsidP="0084590E">
      <w:pPr>
        <w:tabs>
          <w:tab w:val="left" w:pos="6735"/>
        </w:tabs>
        <w:ind w:firstLine="176"/>
        <w:jc w:val="both"/>
      </w:pPr>
      <w:r w:rsidRPr="00E95BB0">
        <w:t>Оценка заявок на участие в электронном конкурсе осуществляется в соответствии с</w:t>
      </w:r>
      <w:r>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682D49">
        <w:t>Закон о контрактной системе</w:t>
      </w:r>
      <w:r>
        <w:t>),</w:t>
      </w:r>
      <w:r w:rsidRPr="00E95BB0">
        <w:t xml:space="preserve"> </w:t>
      </w:r>
      <w:hyperlink w:anchor="P34" w:history="1">
        <w:r w:rsidRPr="00441705">
          <w:t>Положение</w:t>
        </w:r>
      </w:hyperlink>
      <w:r w:rsidRPr="00441705">
        <w:t xml:space="preserve">м об оценке </w:t>
      </w:r>
      <w:r>
        <w:t>заявок на участие в закупке товаров, работ, услуг для обеспечения государственных и муниципальных нужд,</w:t>
      </w:r>
      <w:r w:rsidRPr="00E95BB0">
        <w:t xml:space="preserve"> утвержденным постановлением Правите</w:t>
      </w:r>
      <w:r>
        <w:t>льства Российской Федерации от 31</w:t>
      </w:r>
      <w:r w:rsidRPr="00E95BB0">
        <w:t>.1</w:t>
      </w:r>
      <w:r>
        <w:t>2.2021</w:t>
      </w:r>
      <w:r w:rsidRPr="00D97B35">
        <w:t xml:space="preserve"> </w:t>
      </w:r>
      <w:r w:rsidRPr="00E95BB0">
        <w:t xml:space="preserve">№ </w:t>
      </w:r>
      <w:r>
        <w:t>2604.</w:t>
      </w:r>
    </w:p>
    <w:p w:rsidR="0084590E" w:rsidRDefault="0084590E" w:rsidP="0084590E">
      <w:pPr>
        <w:widowControl w:val="0"/>
        <w:tabs>
          <w:tab w:val="left" w:pos="6735"/>
        </w:tabs>
        <w:ind w:firstLine="176"/>
        <w:jc w:val="both"/>
      </w:pPr>
    </w:p>
    <w:p w:rsidR="0084590E" w:rsidRDefault="0084590E" w:rsidP="0084590E">
      <w:pPr>
        <w:widowControl w:val="0"/>
        <w:tabs>
          <w:tab w:val="left" w:pos="6735"/>
        </w:tabs>
        <w:ind w:firstLine="176"/>
        <w:jc w:val="both"/>
      </w:pPr>
      <w:r w:rsidRPr="00E95BB0">
        <w:t>Оценка заявок на участие в электронном конкурсе осуществляется с использованием следующих критериев оценки:</w:t>
      </w:r>
    </w:p>
    <w:p w:rsidR="0084590E" w:rsidRDefault="0084590E" w:rsidP="0084590E">
      <w:pPr>
        <w:widowControl w:val="0"/>
        <w:tabs>
          <w:tab w:val="left" w:pos="6735"/>
        </w:tabs>
        <w:ind w:firstLine="176"/>
        <w:jc w:val="both"/>
      </w:pPr>
      <w:r w:rsidRPr="00E95BB0">
        <w:t xml:space="preserve">а) </w:t>
      </w:r>
      <w:r>
        <w:t>цена контракта, сумма цен единиц товара, работы, услуги;</w:t>
      </w:r>
    </w:p>
    <w:p w:rsidR="0084590E" w:rsidRDefault="0084590E" w:rsidP="0084590E">
      <w:pPr>
        <w:widowControl w:val="0"/>
        <w:tabs>
          <w:tab w:val="left" w:pos="6735"/>
        </w:tabs>
        <w:ind w:firstLine="176"/>
        <w:jc w:val="both"/>
        <w:rPr>
          <w:highlight w:val="yellow"/>
        </w:rPr>
      </w:pPr>
      <w:r w:rsidRPr="00E95BB0">
        <w:t xml:space="preserve">б) </w:t>
      </w:r>
      <w:r w:rsidRPr="00441705">
        <w:t>квалификация участника закупки.</w:t>
      </w:r>
    </w:p>
    <w:p w:rsidR="0084590E" w:rsidRDefault="0084590E" w:rsidP="0084590E">
      <w:pPr>
        <w:widowControl w:val="0"/>
        <w:tabs>
          <w:tab w:val="left" w:pos="6735"/>
        </w:tabs>
        <w:ind w:firstLine="176"/>
        <w:jc w:val="both"/>
      </w:pPr>
    </w:p>
    <w:p w:rsidR="0084590E" w:rsidRDefault="0084590E" w:rsidP="0084590E">
      <w:pPr>
        <w:widowControl w:val="0"/>
        <w:tabs>
          <w:tab w:val="left" w:pos="6735"/>
        </w:tabs>
        <w:ind w:firstLine="176"/>
        <w:jc w:val="both"/>
      </w:pPr>
      <w:r w:rsidRPr="00134D3D">
        <w:t>Каждому из критериев оценки устанавливается значимост</w:t>
      </w:r>
      <w:r>
        <w:t>ь</w:t>
      </w:r>
      <w:r w:rsidRPr="00134D3D">
        <w:t xml:space="preserve"> критерия оценки, выраженная в процентах:</w:t>
      </w:r>
    </w:p>
    <w:p w:rsidR="0084590E" w:rsidRDefault="0084590E" w:rsidP="0084590E">
      <w:pPr>
        <w:widowControl w:val="0"/>
        <w:tabs>
          <w:tab w:val="left" w:pos="6735"/>
        </w:tabs>
        <w:ind w:firstLine="176"/>
        <w:jc w:val="both"/>
      </w:pPr>
      <w:r w:rsidRPr="00134D3D">
        <w:t xml:space="preserve">а) </w:t>
      </w:r>
      <w:r>
        <w:t xml:space="preserve">цена контракта, сумма цен единиц товара, работы, услуги </w:t>
      </w:r>
      <w:r w:rsidRPr="00134D3D">
        <w:t>– 60%;</w:t>
      </w:r>
    </w:p>
    <w:p w:rsidR="0084590E" w:rsidRDefault="0084590E" w:rsidP="0084590E">
      <w:pPr>
        <w:widowControl w:val="0"/>
        <w:tabs>
          <w:tab w:val="left" w:pos="6735"/>
        </w:tabs>
        <w:ind w:firstLine="176"/>
        <w:jc w:val="both"/>
      </w:pPr>
      <w:r w:rsidRPr="00134D3D">
        <w:t>б)</w:t>
      </w:r>
      <w:r>
        <w:t xml:space="preserve"> квалификация участников закупки</w:t>
      </w:r>
      <w:r w:rsidRPr="00134D3D">
        <w:t>– 40%.</w:t>
      </w:r>
    </w:p>
    <w:p w:rsidR="0084590E" w:rsidRPr="001739A9" w:rsidRDefault="0084590E" w:rsidP="0084590E">
      <w:pPr>
        <w:widowControl w:val="0"/>
        <w:tabs>
          <w:tab w:val="left" w:pos="6735"/>
        </w:tabs>
        <w:ind w:firstLine="176"/>
        <w:jc w:val="both"/>
      </w:pPr>
      <w:r w:rsidRPr="00134D3D">
        <w:t>Сумма величин значимости всех критериев</w:t>
      </w:r>
      <w:r>
        <w:t xml:space="preserve"> оценки</w:t>
      </w:r>
      <w:r w:rsidRPr="00134D3D">
        <w:t xml:space="preserve">, </w:t>
      </w:r>
      <w:r w:rsidRPr="001739A9">
        <w:t>предусмотренных извещением об осуществлении закупки, составляет 100%.</w:t>
      </w:r>
    </w:p>
    <w:p w:rsidR="0084590E" w:rsidRDefault="0084590E" w:rsidP="0084590E">
      <w:pPr>
        <w:widowControl w:val="0"/>
        <w:tabs>
          <w:tab w:val="left" w:pos="6735"/>
        </w:tabs>
        <w:ind w:firstLine="176"/>
        <w:jc w:val="both"/>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4590E" w:rsidRDefault="0084590E" w:rsidP="0084590E">
      <w:pPr>
        <w:pStyle w:val="ConsPlusNormal"/>
        <w:jc w:val="both"/>
        <w:rPr>
          <w:rFonts w:ascii="Times New Roman" w:hAnsi="Times New Roman" w:cs="Times New Roman"/>
          <w:b/>
          <w:sz w:val="24"/>
          <w:szCs w:val="24"/>
        </w:rPr>
      </w:pPr>
    </w:p>
    <w:p w:rsidR="0084590E" w:rsidRPr="001739A9" w:rsidRDefault="0084590E" w:rsidP="0084590E">
      <w:pPr>
        <w:pStyle w:val="ConsPlusNormal"/>
        <w:jc w:val="both"/>
        <w:rPr>
          <w:rFonts w:ascii="Times New Roman" w:hAnsi="Times New Roman" w:cs="Times New Roman"/>
          <w:b/>
          <w:sz w:val="24"/>
          <w:szCs w:val="24"/>
        </w:rPr>
      </w:pPr>
      <w:r w:rsidRPr="001739A9">
        <w:rPr>
          <w:rFonts w:ascii="Times New Roman" w:hAnsi="Times New Roman" w:cs="Times New Roman"/>
          <w:b/>
          <w:sz w:val="24"/>
          <w:szCs w:val="24"/>
        </w:rPr>
        <w:t>ПОРЯДОК</w:t>
      </w:r>
      <w:bookmarkStart w:id="0" w:name="_GoBack"/>
      <w:bookmarkEnd w:id="0"/>
    </w:p>
    <w:p w:rsidR="0084590E" w:rsidRPr="001739A9" w:rsidRDefault="0084590E" w:rsidP="0084590E">
      <w:pPr>
        <w:widowControl w:val="0"/>
        <w:tabs>
          <w:tab w:val="left" w:pos="6735"/>
        </w:tabs>
        <w:jc w:val="both"/>
        <w:rPr>
          <w:b/>
        </w:rPr>
      </w:pPr>
      <w:r w:rsidRPr="001739A9">
        <w:rPr>
          <w:b/>
        </w:rPr>
        <w:t xml:space="preserve">рассмотрения и оценки заявок на участие в </w:t>
      </w:r>
      <w:r w:rsidRPr="00B55130">
        <w:rPr>
          <w:b/>
        </w:rPr>
        <w:t xml:space="preserve">электронном </w:t>
      </w:r>
      <w:r w:rsidRPr="001739A9">
        <w:rPr>
          <w:b/>
        </w:rPr>
        <w:t>конкурсе</w:t>
      </w:r>
    </w:p>
    <w:tbl>
      <w:tblPr>
        <w:tblW w:w="6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451"/>
        <w:gridCol w:w="1984"/>
        <w:gridCol w:w="851"/>
        <w:gridCol w:w="708"/>
        <w:gridCol w:w="974"/>
      </w:tblGrid>
      <w:tr w:rsidR="0084590E" w:rsidRPr="00581196" w:rsidTr="0084590E">
        <w:trPr>
          <w:cantSplit/>
          <w:trHeight w:val="2577"/>
        </w:trPr>
        <w:tc>
          <w:tcPr>
            <w:tcW w:w="421" w:type="dxa"/>
            <w:textDirection w:val="btLr"/>
            <w:vAlign w:val="center"/>
          </w:tcPr>
          <w:p w:rsidR="0084590E" w:rsidRPr="00581196" w:rsidRDefault="0084590E" w:rsidP="00D8242F">
            <w:pPr>
              <w:widowControl w:val="0"/>
              <w:suppressAutoHyphens w:val="0"/>
              <w:ind w:left="-62" w:right="-40" w:firstLine="6"/>
              <w:jc w:val="center"/>
              <w:rPr>
                <w:b/>
                <w:sz w:val="20"/>
                <w:szCs w:val="20"/>
              </w:rPr>
            </w:pPr>
            <w:r w:rsidRPr="00581196">
              <w:rPr>
                <w:b/>
                <w:sz w:val="20"/>
                <w:szCs w:val="20"/>
              </w:rPr>
              <w:t>Номер критерия</w:t>
            </w:r>
          </w:p>
        </w:tc>
        <w:tc>
          <w:tcPr>
            <w:tcW w:w="1451" w:type="dxa"/>
            <w:textDirection w:val="btLr"/>
            <w:vAlign w:val="center"/>
          </w:tcPr>
          <w:p w:rsidR="0084590E" w:rsidRPr="00581196" w:rsidRDefault="0084590E" w:rsidP="00D8242F">
            <w:pPr>
              <w:widowControl w:val="0"/>
              <w:suppressAutoHyphens w:val="0"/>
              <w:ind w:left="-62" w:right="-40" w:firstLine="6"/>
              <w:jc w:val="center"/>
              <w:rPr>
                <w:b/>
                <w:sz w:val="20"/>
                <w:szCs w:val="20"/>
              </w:rPr>
            </w:pPr>
            <w:r w:rsidRPr="00581196">
              <w:rPr>
                <w:b/>
                <w:sz w:val="20"/>
                <w:szCs w:val="20"/>
              </w:rPr>
              <w:t>Критерии оценки заявок</w:t>
            </w:r>
          </w:p>
          <w:p w:rsidR="0084590E" w:rsidRPr="00581196" w:rsidRDefault="0084590E" w:rsidP="00D8242F">
            <w:pPr>
              <w:widowControl w:val="0"/>
              <w:suppressAutoHyphens w:val="0"/>
              <w:ind w:left="-62" w:right="-40" w:firstLine="6"/>
              <w:jc w:val="center"/>
              <w:rPr>
                <w:b/>
                <w:sz w:val="20"/>
                <w:szCs w:val="20"/>
              </w:rPr>
            </w:pPr>
            <w:r w:rsidRPr="00581196">
              <w:rPr>
                <w:b/>
                <w:sz w:val="20"/>
                <w:szCs w:val="20"/>
              </w:rPr>
              <w:t>на участие в электронном конкурсе</w:t>
            </w:r>
          </w:p>
        </w:tc>
        <w:tc>
          <w:tcPr>
            <w:tcW w:w="1984" w:type="dxa"/>
            <w:textDirection w:val="btLr"/>
            <w:vAlign w:val="center"/>
          </w:tcPr>
          <w:p w:rsidR="0084590E" w:rsidRPr="00581196" w:rsidRDefault="0084590E" w:rsidP="00D8242F">
            <w:pPr>
              <w:widowControl w:val="0"/>
              <w:suppressAutoHyphens w:val="0"/>
              <w:ind w:left="-62" w:right="-40" w:firstLine="6"/>
              <w:jc w:val="center"/>
              <w:rPr>
                <w:b/>
                <w:sz w:val="20"/>
                <w:szCs w:val="20"/>
              </w:rPr>
            </w:pPr>
            <w:r w:rsidRPr="00581196">
              <w:rPr>
                <w:b/>
                <w:sz w:val="20"/>
                <w:szCs w:val="20"/>
              </w:rPr>
              <w:t>Показатели оценки заявок на участие в электронном конкурсе</w:t>
            </w:r>
          </w:p>
        </w:tc>
        <w:tc>
          <w:tcPr>
            <w:tcW w:w="851" w:type="dxa"/>
            <w:textDirection w:val="btLr"/>
            <w:vAlign w:val="center"/>
          </w:tcPr>
          <w:p w:rsidR="0084590E" w:rsidRPr="00581196" w:rsidRDefault="0084590E" w:rsidP="00D8242F">
            <w:pPr>
              <w:widowControl w:val="0"/>
              <w:suppressAutoHyphens w:val="0"/>
              <w:ind w:left="-62" w:right="-40" w:firstLine="6"/>
              <w:jc w:val="center"/>
              <w:rPr>
                <w:b/>
                <w:sz w:val="20"/>
                <w:szCs w:val="20"/>
              </w:rPr>
            </w:pPr>
            <w:r w:rsidRPr="00581196">
              <w:rPr>
                <w:b/>
                <w:sz w:val="20"/>
                <w:szCs w:val="20"/>
              </w:rPr>
              <w:t>Значимость критерия оценки, в (%)</w:t>
            </w:r>
          </w:p>
        </w:tc>
        <w:tc>
          <w:tcPr>
            <w:tcW w:w="708" w:type="dxa"/>
            <w:textDirection w:val="btLr"/>
            <w:vAlign w:val="center"/>
          </w:tcPr>
          <w:p w:rsidR="0084590E" w:rsidRPr="00581196" w:rsidRDefault="0084590E" w:rsidP="00D8242F">
            <w:pPr>
              <w:widowControl w:val="0"/>
              <w:suppressAutoHyphens w:val="0"/>
              <w:ind w:left="-62" w:right="-40" w:firstLine="6"/>
              <w:jc w:val="center"/>
              <w:rPr>
                <w:b/>
                <w:sz w:val="20"/>
                <w:szCs w:val="20"/>
              </w:rPr>
            </w:pPr>
            <w:r w:rsidRPr="00581196">
              <w:rPr>
                <w:b/>
                <w:sz w:val="20"/>
                <w:szCs w:val="20"/>
              </w:rPr>
              <w:t>Значимость</w:t>
            </w:r>
          </w:p>
          <w:p w:rsidR="0084590E" w:rsidRPr="00581196" w:rsidRDefault="0084590E" w:rsidP="00D8242F">
            <w:pPr>
              <w:widowControl w:val="0"/>
              <w:suppressAutoHyphens w:val="0"/>
              <w:ind w:left="-62" w:right="-40" w:firstLine="6"/>
              <w:jc w:val="center"/>
              <w:rPr>
                <w:b/>
                <w:sz w:val="20"/>
                <w:szCs w:val="20"/>
              </w:rPr>
            </w:pPr>
            <w:r w:rsidRPr="00581196">
              <w:rPr>
                <w:b/>
                <w:sz w:val="20"/>
                <w:szCs w:val="20"/>
              </w:rPr>
              <w:t>показателя оценки, в %</w:t>
            </w:r>
          </w:p>
        </w:tc>
        <w:tc>
          <w:tcPr>
            <w:tcW w:w="974" w:type="dxa"/>
            <w:textDirection w:val="btLr"/>
            <w:vAlign w:val="center"/>
          </w:tcPr>
          <w:p w:rsidR="0084590E" w:rsidRPr="00581196" w:rsidRDefault="0084590E" w:rsidP="00D8242F">
            <w:pPr>
              <w:widowControl w:val="0"/>
              <w:suppressAutoHyphens w:val="0"/>
              <w:ind w:left="-62" w:right="-40" w:firstLine="6"/>
              <w:jc w:val="center"/>
              <w:rPr>
                <w:b/>
                <w:sz w:val="20"/>
                <w:szCs w:val="20"/>
              </w:rPr>
            </w:pPr>
            <w:r w:rsidRPr="00581196">
              <w:rPr>
                <w:b/>
                <w:sz w:val="20"/>
                <w:szCs w:val="20"/>
              </w:rPr>
              <w:t>Обозначение рейтинга по критерию/показателю</w:t>
            </w:r>
          </w:p>
        </w:tc>
      </w:tr>
      <w:tr w:rsidR="0084590E" w:rsidRPr="00581196" w:rsidTr="0084590E">
        <w:tc>
          <w:tcPr>
            <w:tcW w:w="421" w:type="dxa"/>
            <w:vAlign w:val="center"/>
          </w:tcPr>
          <w:p w:rsidR="0084590E" w:rsidRPr="00581196" w:rsidRDefault="0084590E" w:rsidP="00D8242F">
            <w:pPr>
              <w:widowControl w:val="0"/>
              <w:suppressAutoHyphens w:val="0"/>
              <w:ind w:left="-62" w:right="-40" w:firstLine="6"/>
              <w:jc w:val="both"/>
              <w:rPr>
                <w:sz w:val="20"/>
                <w:szCs w:val="20"/>
              </w:rPr>
            </w:pPr>
            <w:r w:rsidRPr="00581196">
              <w:rPr>
                <w:sz w:val="20"/>
                <w:szCs w:val="20"/>
              </w:rPr>
              <w:t>1.</w:t>
            </w:r>
          </w:p>
        </w:tc>
        <w:tc>
          <w:tcPr>
            <w:tcW w:w="1451" w:type="dxa"/>
            <w:vAlign w:val="center"/>
          </w:tcPr>
          <w:p w:rsidR="0084590E" w:rsidRPr="00581196" w:rsidRDefault="0084590E" w:rsidP="00D8242F">
            <w:pPr>
              <w:widowControl w:val="0"/>
              <w:suppressAutoHyphens w:val="0"/>
              <w:ind w:left="-62" w:right="-40" w:firstLine="6"/>
              <w:rPr>
                <w:sz w:val="20"/>
                <w:szCs w:val="20"/>
              </w:rPr>
            </w:pPr>
            <w:r w:rsidRPr="00581196">
              <w:rPr>
                <w:sz w:val="20"/>
                <w:szCs w:val="20"/>
              </w:rPr>
              <w:t>Цена контракта, сумма цен единиц товара, работы, услуги</w:t>
            </w:r>
          </w:p>
        </w:tc>
        <w:tc>
          <w:tcPr>
            <w:tcW w:w="1984" w:type="dxa"/>
            <w:vAlign w:val="center"/>
          </w:tcPr>
          <w:p w:rsidR="0084590E" w:rsidRPr="00581196" w:rsidRDefault="0084590E" w:rsidP="00D8242F">
            <w:pPr>
              <w:widowControl w:val="0"/>
              <w:suppressAutoHyphens w:val="0"/>
              <w:ind w:left="-62" w:right="-40" w:firstLine="6"/>
              <w:rPr>
                <w:sz w:val="20"/>
                <w:szCs w:val="20"/>
              </w:rPr>
            </w:pPr>
            <w:r w:rsidRPr="00581196">
              <w:rPr>
                <w:sz w:val="20"/>
                <w:szCs w:val="20"/>
              </w:rPr>
              <w:t>Предложение участников закупки в отношении цены государственного контракта</w:t>
            </w:r>
          </w:p>
        </w:tc>
        <w:tc>
          <w:tcPr>
            <w:tcW w:w="851" w:type="dxa"/>
            <w:vAlign w:val="center"/>
          </w:tcPr>
          <w:p w:rsidR="0084590E" w:rsidRPr="00581196" w:rsidRDefault="0084590E" w:rsidP="00D8242F">
            <w:pPr>
              <w:widowControl w:val="0"/>
              <w:suppressAutoHyphens w:val="0"/>
              <w:ind w:left="-62" w:right="-40" w:firstLine="6"/>
              <w:jc w:val="both"/>
              <w:rPr>
                <w:sz w:val="20"/>
                <w:szCs w:val="20"/>
                <w:lang w:val="en-US"/>
              </w:rPr>
            </w:pPr>
            <w:r w:rsidRPr="00581196">
              <w:rPr>
                <w:sz w:val="20"/>
                <w:szCs w:val="20"/>
              </w:rPr>
              <w:t>6</w:t>
            </w:r>
            <w:r w:rsidRPr="00581196">
              <w:rPr>
                <w:sz w:val="20"/>
                <w:szCs w:val="20"/>
                <w:lang w:val="en-US"/>
              </w:rPr>
              <w:t>0</w:t>
            </w:r>
          </w:p>
        </w:tc>
        <w:tc>
          <w:tcPr>
            <w:tcW w:w="708" w:type="dxa"/>
            <w:vAlign w:val="center"/>
          </w:tcPr>
          <w:p w:rsidR="0084590E" w:rsidRPr="00581196" w:rsidRDefault="0084590E" w:rsidP="00D8242F">
            <w:pPr>
              <w:widowControl w:val="0"/>
              <w:suppressAutoHyphens w:val="0"/>
              <w:ind w:left="-62" w:right="-40" w:firstLine="6"/>
              <w:jc w:val="both"/>
              <w:rPr>
                <w:sz w:val="20"/>
                <w:szCs w:val="20"/>
              </w:rPr>
            </w:pPr>
          </w:p>
        </w:tc>
        <w:tc>
          <w:tcPr>
            <w:tcW w:w="974" w:type="dxa"/>
            <w:vAlign w:val="center"/>
          </w:tcPr>
          <w:p w:rsidR="0084590E" w:rsidRPr="00581196" w:rsidRDefault="0084590E" w:rsidP="00D8242F">
            <w:pPr>
              <w:widowControl w:val="0"/>
              <w:suppressAutoHyphens w:val="0"/>
              <w:ind w:left="-62" w:right="-40" w:firstLine="6"/>
              <w:jc w:val="both"/>
              <w:rPr>
                <w:b/>
                <w:sz w:val="20"/>
                <w:szCs w:val="20"/>
                <w:lang w:val="en-US"/>
              </w:rPr>
            </w:pPr>
            <w:proofErr w:type="spellStart"/>
            <w:r w:rsidRPr="00581196">
              <w:rPr>
                <w:sz w:val="20"/>
                <w:szCs w:val="20"/>
              </w:rPr>
              <w:t>БЦ</w:t>
            </w:r>
            <w:r w:rsidRPr="00581196">
              <w:rPr>
                <w:sz w:val="20"/>
                <w:szCs w:val="20"/>
                <w:vertAlign w:val="subscript"/>
              </w:rPr>
              <w:t>i</w:t>
            </w:r>
            <w:proofErr w:type="spellEnd"/>
          </w:p>
        </w:tc>
      </w:tr>
      <w:tr w:rsidR="0084590E" w:rsidRPr="00581196" w:rsidTr="0084590E">
        <w:tc>
          <w:tcPr>
            <w:tcW w:w="421" w:type="dxa"/>
            <w:vAlign w:val="center"/>
          </w:tcPr>
          <w:p w:rsidR="0084590E" w:rsidRPr="00581196" w:rsidRDefault="0084590E" w:rsidP="00D8242F">
            <w:pPr>
              <w:widowControl w:val="0"/>
              <w:suppressAutoHyphens w:val="0"/>
              <w:ind w:left="-62" w:right="-40" w:firstLine="6"/>
              <w:jc w:val="both"/>
              <w:rPr>
                <w:sz w:val="20"/>
                <w:szCs w:val="20"/>
              </w:rPr>
            </w:pPr>
            <w:r w:rsidRPr="00581196">
              <w:rPr>
                <w:sz w:val="20"/>
                <w:szCs w:val="20"/>
              </w:rPr>
              <w:t>2.</w:t>
            </w:r>
          </w:p>
        </w:tc>
        <w:tc>
          <w:tcPr>
            <w:tcW w:w="1451" w:type="dxa"/>
            <w:vAlign w:val="center"/>
          </w:tcPr>
          <w:p w:rsidR="0084590E" w:rsidRPr="00581196" w:rsidRDefault="0084590E" w:rsidP="00D8242F">
            <w:pPr>
              <w:widowControl w:val="0"/>
              <w:suppressAutoHyphens w:val="0"/>
              <w:ind w:left="-62" w:right="-40" w:firstLine="6"/>
              <w:rPr>
                <w:sz w:val="20"/>
                <w:szCs w:val="20"/>
              </w:rPr>
            </w:pPr>
            <w:r w:rsidRPr="00581196">
              <w:rPr>
                <w:sz w:val="20"/>
                <w:szCs w:val="20"/>
              </w:rPr>
              <w:t>Квалификация участников закупки</w:t>
            </w:r>
          </w:p>
        </w:tc>
        <w:tc>
          <w:tcPr>
            <w:tcW w:w="1984" w:type="dxa"/>
            <w:vAlign w:val="center"/>
          </w:tcPr>
          <w:p w:rsidR="0084590E" w:rsidRPr="00581196" w:rsidRDefault="0084590E" w:rsidP="00D8242F">
            <w:pPr>
              <w:widowControl w:val="0"/>
              <w:suppressAutoHyphens w:val="0"/>
              <w:ind w:left="-62" w:right="-40" w:firstLine="6"/>
              <w:rPr>
                <w:sz w:val="20"/>
                <w:szCs w:val="20"/>
              </w:rPr>
            </w:pPr>
            <w:r w:rsidRPr="00581196">
              <w:rPr>
                <w:sz w:val="20"/>
                <w:szCs w:val="20"/>
              </w:rPr>
              <w:t>Наличие у участников закупки опыта выполнения работ, связанных с предметом контракта.</w:t>
            </w:r>
          </w:p>
        </w:tc>
        <w:tc>
          <w:tcPr>
            <w:tcW w:w="851" w:type="dxa"/>
            <w:vAlign w:val="center"/>
          </w:tcPr>
          <w:p w:rsidR="0084590E" w:rsidRPr="00581196" w:rsidRDefault="0084590E" w:rsidP="00D8242F">
            <w:pPr>
              <w:widowControl w:val="0"/>
              <w:suppressAutoHyphens w:val="0"/>
              <w:ind w:left="-62" w:right="-40" w:firstLine="6"/>
              <w:jc w:val="both"/>
              <w:rPr>
                <w:sz w:val="20"/>
                <w:szCs w:val="20"/>
                <w:lang w:val="en-US"/>
              </w:rPr>
            </w:pPr>
            <w:r w:rsidRPr="00581196">
              <w:rPr>
                <w:sz w:val="20"/>
                <w:szCs w:val="20"/>
              </w:rPr>
              <w:t>4</w:t>
            </w:r>
            <w:r w:rsidRPr="00581196">
              <w:rPr>
                <w:sz w:val="20"/>
                <w:szCs w:val="20"/>
                <w:lang w:val="en-US"/>
              </w:rPr>
              <w:t>0</w:t>
            </w:r>
          </w:p>
        </w:tc>
        <w:tc>
          <w:tcPr>
            <w:tcW w:w="708" w:type="dxa"/>
            <w:vAlign w:val="center"/>
          </w:tcPr>
          <w:p w:rsidR="0084590E" w:rsidRPr="00581196" w:rsidRDefault="0084590E" w:rsidP="00D8242F">
            <w:pPr>
              <w:widowControl w:val="0"/>
              <w:suppressAutoHyphens w:val="0"/>
              <w:ind w:left="-62" w:right="-40" w:firstLine="6"/>
              <w:jc w:val="both"/>
              <w:rPr>
                <w:sz w:val="20"/>
                <w:szCs w:val="20"/>
              </w:rPr>
            </w:pPr>
            <w:r w:rsidRPr="00581196">
              <w:rPr>
                <w:sz w:val="20"/>
                <w:szCs w:val="20"/>
              </w:rPr>
              <w:t>100</w:t>
            </w:r>
          </w:p>
        </w:tc>
        <w:tc>
          <w:tcPr>
            <w:tcW w:w="974" w:type="dxa"/>
            <w:vAlign w:val="center"/>
          </w:tcPr>
          <w:p w:rsidR="0084590E" w:rsidRPr="00581196" w:rsidRDefault="0084590E" w:rsidP="00D8242F">
            <w:pPr>
              <w:widowControl w:val="0"/>
              <w:suppressAutoHyphens w:val="0"/>
              <w:ind w:left="-62" w:right="-40" w:firstLine="6"/>
              <w:jc w:val="both"/>
              <w:rPr>
                <w:b/>
                <w:sz w:val="20"/>
                <w:szCs w:val="20"/>
                <w:lang w:val="en-US"/>
              </w:rPr>
            </w:pPr>
            <w:proofErr w:type="spellStart"/>
            <w:r w:rsidRPr="00581196">
              <w:rPr>
                <w:sz w:val="20"/>
                <w:szCs w:val="20"/>
              </w:rPr>
              <w:t>БХ</w:t>
            </w:r>
            <w:r w:rsidRPr="00581196">
              <w:rPr>
                <w:sz w:val="20"/>
                <w:szCs w:val="20"/>
                <w:vertAlign w:val="subscript"/>
              </w:rPr>
              <w:t>i</w:t>
            </w:r>
            <w:proofErr w:type="spellEnd"/>
          </w:p>
        </w:tc>
      </w:tr>
      <w:tr w:rsidR="0084590E" w:rsidRPr="00581196" w:rsidTr="00D8242F">
        <w:tc>
          <w:tcPr>
            <w:tcW w:w="1872" w:type="dxa"/>
            <w:gridSpan w:val="2"/>
            <w:vAlign w:val="center"/>
          </w:tcPr>
          <w:p w:rsidR="0084590E" w:rsidRPr="00581196" w:rsidRDefault="0084590E" w:rsidP="00D8242F">
            <w:pPr>
              <w:widowControl w:val="0"/>
              <w:suppressAutoHyphens w:val="0"/>
              <w:ind w:left="-62" w:right="-40" w:firstLine="6"/>
              <w:rPr>
                <w:sz w:val="20"/>
                <w:szCs w:val="20"/>
              </w:rPr>
            </w:pPr>
            <w:r w:rsidRPr="00581196">
              <w:rPr>
                <w:sz w:val="20"/>
                <w:szCs w:val="20"/>
              </w:rPr>
              <w:t>Совокупная значимость всех критериев оценки в процентах</w:t>
            </w:r>
          </w:p>
        </w:tc>
        <w:tc>
          <w:tcPr>
            <w:tcW w:w="1984" w:type="dxa"/>
            <w:vAlign w:val="center"/>
          </w:tcPr>
          <w:p w:rsidR="0084590E" w:rsidRPr="00581196" w:rsidRDefault="0084590E" w:rsidP="00D8242F">
            <w:pPr>
              <w:widowControl w:val="0"/>
              <w:suppressAutoHyphens w:val="0"/>
              <w:ind w:left="-62" w:right="-40" w:firstLine="6"/>
              <w:rPr>
                <w:sz w:val="20"/>
                <w:szCs w:val="20"/>
              </w:rPr>
            </w:pPr>
          </w:p>
        </w:tc>
        <w:tc>
          <w:tcPr>
            <w:tcW w:w="2533" w:type="dxa"/>
            <w:gridSpan w:val="3"/>
            <w:vAlign w:val="center"/>
          </w:tcPr>
          <w:p w:rsidR="0084590E" w:rsidRPr="00581196" w:rsidRDefault="0084590E" w:rsidP="00D8242F">
            <w:pPr>
              <w:widowControl w:val="0"/>
              <w:suppressAutoHyphens w:val="0"/>
              <w:ind w:left="-62" w:right="-40" w:firstLine="6"/>
              <w:jc w:val="both"/>
              <w:rPr>
                <w:sz w:val="20"/>
                <w:szCs w:val="20"/>
              </w:rPr>
            </w:pPr>
            <w:r w:rsidRPr="00581196">
              <w:rPr>
                <w:sz w:val="20"/>
                <w:szCs w:val="20"/>
              </w:rPr>
              <w:t>100</w:t>
            </w:r>
          </w:p>
        </w:tc>
      </w:tr>
    </w:tbl>
    <w:p w:rsidR="0084590E" w:rsidRDefault="0084590E" w:rsidP="0084590E">
      <w:pPr>
        <w:widowControl w:val="0"/>
        <w:ind w:left="-61" w:right="-39" w:firstLine="5"/>
        <w:jc w:val="both"/>
      </w:pPr>
    </w:p>
    <w:p w:rsidR="0084590E" w:rsidRPr="00031FC5" w:rsidRDefault="0084590E" w:rsidP="0084590E">
      <w:pPr>
        <w:widowControl w:val="0"/>
        <w:ind w:right="-39" w:firstLine="176"/>
        <w:jc w:val="both"/>
        <w:rPr>
          <w:b/>
        </w:rPr>
      </w:pPr>
      <w:r w:rsidRPr="00134D3D">
        <w:rPr>
          <w:b/>
        </w:rPr>
        <w:t xml:space="preserve">1. Оценка заявок по критерию </w:t>
      </w:r>
      <w:r w:rsidRPr="00031FC5">
        <w:rPr>
          <w:b/>
        </w:rPr>
        <w:t>«</w:t>
      </w:r>
      <w:r>
        <w:rPr>
          <w:b/>
        </w:rPr>
        <w:t>Ц</w:t>
      </w:r>
      <w:r w:rsidRPr="00031FC5">
        <w:rPr>
          <w:b/>
        </w:rPr>
        <w:t>ена контракта, сумма цен единиц товара, работы, услуги»</w:t>
      </w:r>
      <w:r>
        <w:rPr>
          <w:b/>
        </w:rPr>
        <w:t>.</w:t>
      </w:r>
    </w:p>
    <w:p w:rsidR="0084590E" w:rsidRPr="00134D3D" w:rsidRDefault="0084590E" w:rsidP="0084590E">
      <w:pPr>
        <w:widowControl w:val="0"/>
        <w:ind w:right="-39" w:firstLine="176"/>
        <w:jc w:val="both"/>
      </w:pPr>
      <w:r>
        <w:t>З</w:t>
      </w:r>
      <w:r w:rsidRPr="00134D3D">
        <w:t>начимост</w:t>
      </w:r>
      <w:r>
        <w:t>ь</w:t>
      </w:r>
      <w:r w:rsidRPr="00134D3D">
        <w:t xml:space="preserve"> критерия оценки – 60 %</w:t>
      </w:r>
    </w:p>
    <w:p w:rsidR="0084590E" w:rsidRPr="00031FC5" w:rsidRDefault="0084590E" w:rsidP="0084590E">
      <w:pPr>
        <w:widowControl w:val="0"/>
        <w:ind w:right="-39" w:firstLine="176"/>
        <w:jc w:val="both"/>
      </w:pPr>
      <w:r w:rsidRPr="00031FC5">
        <w:t>Оценка критерия (баллы): – 100</w:t>
      </w:r>
    </w:p>
    <w:p w:rsidR="0084590E" w:rsidRPr="00031FC5" w:rsidRDefault="0084590E" w:rsidP="0084590E">
      <w:pPr>
        <w:widowControl w:val="0"/>
        <w:ind w:right="-39" w:firstLine="176"/>
        <w:jc w:val="both"/>
      </w:pPr>
      <w:r w:rsidRPr="00031FC5">
        <w:t xml:space="preserve">Количество баллов, присуждаемых по критерию оценки «цена контракта, сумма цен </w:t>
      </w:r>
      <w:r w:rsidRPr="00031FC5">
        <w:lastRenderedPageBreak/>
        <w:t>единиц товара, работы, услуги», определяется по формуле:</w:t>
      </w:r>
    </w:p>
    <w:p w:rsidR="0084590E" w:rsidRPr="00031FC5" w:rsidRDefault="0084590E" w:rsidP="0084590E">
      <w:pPr>
        <w:pStyle w:val="ConsPlusNormal"/>
        <w:ind w:firstLine="176"/>
        <w:jc w:val="both"/>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84590E" w:rsidRPr="00031FC5" w:rsidRDefault="0084590E" w:rsidP="0084590E">
      <w:pPr>
        <w:pStyle w:val="ConsPlusNormal"/>
        <w:ind w:firstLine="176"/>
        <w:jc w:val="both"/>
        <w:rPr>
          <w:rFonts w:ascii="Times New Roman" w:hAnsi="Times New Roman" w:cs="Times New Roman"/>
          <w:sz w:val="24"/>
          <w:szCs w:val="24"/>
        </w:rPr>
      </w:pPr>
    </w:p>
    <w:p w:rsidR="0084590E" w:rsidRPr="00031FC5" w:rsidRDefault="0084590E" w:rsidP="0084590E">
      <w:pPr>
        <w:pStyle w:val="ConsPlusNormal"/>
        <w:ind w:firstLine="176"/>
        <w:jc w:val="both"/>
        <w:rPr>
          <w:rFonts w:ascii="Times New Roman" w:hAnsi="Times New Roman" w:cs="Times New Roman"/>
          <w:sz w:val="24"/>
          <w:szCs w:val="24"/>
        </w:rPr>
      </w:pPr>
      <w:r w:rsidRPr="00E25B6E">
        <w:rPr>
          <w:rFonts w:ascii="Times New Roman" w:hAnsi="Times New Roman" w:cs="Times New Roman"/>
          <w:noProof/>
          <w:position w:val="-31"/>
          <w:sz w:val="24"/>
          <w:szCs w:val="24"/>
        </w:rPr>
        <w:drawing>
          <wp:inline distT="0" distB="0" distL="0" distR="0">
            <wp:extent cx="1852930" cy="532765"/>
            <wp:effectExtent l="0" t="0" r="0" b="635"/>
            <wp:docPr id="4" name="Рисунок 4"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68"/>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2930" cy="532765"/>
                    </a:xfrm>
                    <a:prstGeom prst="rect">
                      <a:avLst/>
                    </a:prstGeom>
                    <a:noFill/>
                    <a:ln>
                      <a:noFill/>
                    </a:ln>
                  </pic:spPr>
                </pic:pic>
              </a:graphicData>
            </a:graphic>
          </wp:inline>
        </w:drawing>
      </w:r>
    </w:p>
    <w:p w:rsidR="0084590E" w:rsidRPr="00031FC5" w:rsidRDefault="0084590E" w:rsidP="0084590E">
      <w:pPr>
        <w:pStyle w:val="ConsPlusNormal"/>
        <w:ind w:firstLine="176"/>
        <w:jc w:val="both"/>
        <w:rPr>
          <w:rFonts w:ascii="Times New Roman" w:hAnsi="Times New Roman" w:cs="Times New Roman"/>
          <w:sz w:val="24"/>
          <w:szCs w:val="24"/>
        </w:rPr>
      </w:pPr>
      <w:r w:rsidRPr="00031FC5">
        <w:rPr>
          <w:rFonts w:ascii="Times New Roman" w:hAnsi="Times New Roman" w:cs="Times New Roman"/>
          <w:sz w:val="24"/>
          <w:szCs w:val="24"/>
        </w:rPr>
        <w:t>где:</w:t>
      </w:r>
    </w:p>
    <w:p w:rsidR="0084590E" w:rsidRPr="00031FC5" w:rsidRDefault="0084590E" w:rsidP="0084590E">
      <w:pPr>
        <w:pStyle w:val="ConsPlusNormal"/>
        <w:spacing w:before="220"/>
        <w:ind w:firstLine="176"/>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w:t>
      </w:r>
      <w:r>
        <w:rPr>
          <w:rFonts w:ascii="Times New Roman" w:hAnsi="Times New Roman" w:cs="Times New Roman"/>
          <w:sz w:val="24"/>
          <w:szCs w:val="24"/>
        </w:rPr>
        <w:t>электронного</w:t>
      </w:r>
      <w:r w:rsidRPr="00031FC5">
        <w:rPr>
          <w:rFonts w:ascii="Times New Roman" w:hAnsi="Times New Roman" w:cs="Times New Roman"/>
          <w:sz w:val="24"/>
          <w:szCs w:val="24"/>
        </w:rPr>
        <w:t xml:space="preserve"> конкурса</w:t>
      </w:r>
      <w:r w:rsidRPr="00E25B6E">
        <w:rPr>
          <w:rFonts w:ascii="Times New Roman" w:hAnsi="Times New Roman" w:cs="Times New Roman"/>
          <w:color w:val="000000"/>
          <w:sz w:val="24"/>
          <w:szCs w:val="24"/>
        </w:rPr>
        <w:t xml:space="preserve">, или о сумме цен единиц товара, работы, услуги (в случае, предусмотренном </w:t>
      </w:r>
      <w:hyperlink r:id="rId5" w:history="1">
        <w:r w:rsidRPr="00E25B6E">
          <w:rPr>
            <w:rFonts w:ascii="Times New Roman" w:hAnsi="Times New Roman" w:cs="Times New Roman"/>
            <w:color w:val="000000"/>
            <w:sz w:val="24"/>
            <w:szCs w:val="24"/>
          </w:rPr>
          <w:t>частью 24 статьи 22</w:t>
        </w:r>
      </w:hyperlink>
      <w:r w:rsidRPr="00E25B6E">
        <w:rPr>
          <w:rFonts w:ascii="Times New Roman" w:hAnsi="Times New Roman" w:cs="Times New Roman"/>
          <w:color w:val="000000"/>
          <w:sz w:val="24"/>
          <w:szCs w:val="24"/>
        </w:rPr>
        <w:t xml:space="preserve"> Закона </w:t>
      </w:r>
      <w:r w:rsidRPr="00031FC5">
        <w:rPr>
          <w:rFonts w:ascii="Times New Roman" w:hAnsi="Times New Roman" w:cs="Times New Roman"/>
          <w:sz w:val="24"/>
          <w:szCs w:val="24"/>
        </w:rPr>
        <w:t>о контрактной системе),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84590E" w:rsidRPr="00031FC5" w:rsidRDefault="0084590E" w:rsidP="0084590E">
      <w:pPr>
        <w:pStyle w:val="ConsPlusNormal"/>
        <w:spacing w:before="220"/>
        <w:ind w:firstLine="176"/>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84590E" w:rsidRPr="00031FC5" w:rsidRDefault="0084590E" w:rsidP="0084590E">
      <w:pPr>
        <w:pStyle w:val="ConsPlusNormal"/>
        <w:spacing w:before="220"/>
        <w:ind w:firstLine="176"/>
        <w:jc w:val="both"/>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E25B6E">
        <w:rPr>
          <w:rFonts w:ascii="Times New Roman" w:hAnsi="Times New Roman" w:cs="Times New Roman"/>
          <w:color w:val="000000"/>
          <w:sz w:val="24"/>
          <w:szCs w:val="24"/>
        </w:rPr>
        <w:t xml:space="preserve">предложений о цене контракта либо о сумме цен единиц товара, работы, услуги (в случае, предусмотренном </w:t>
      </w:r>
      <w:hyperlink r:id="rId6" w:history="1">
        <w:r w:rsidRPr="00E25B6E">
          <w:rPr>
            <w:rFonts w:ascii="Times New Roman" w:hAnsi="Times New Roman" w:cs="Times New Roman"/>
            <w:color w:val="000000"/>
            <w:sz w:val="24"/>
            <w:szCs w:val="24"/>
          </w:rPr>
          <w:t>частью 24 статьи 22</w:t>
        </w:r>
      </w:hyperlink>
      <w:r w:rsidRPr="00E25B6E">
        <w:rPr>
          <w:rFonts w:ascii="Times New Roman" w:hAnsi="Times New Roman" w:cs="Times New Roman"/>
          <w:color w:val="000000"/>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rsidR="0084590E" w:rsidRPr="00031FC5" w:rsidRDefault="0084590E" w:rsidP="0084590E">
      <w:pPr>
        <w:pStyle w:val="ConsPlusNormal"/>
        <w:spacing w:before="220"/>
        <w:ind w:firstLine="176"/>
        <w:jc w:val="both"/>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84590E" w:rsidRPr="00031FC5" w:rsidRDefault="0084590E" w:rsidP="0084590E">
      <w:pPr>
        <w:pStyle w:val="ConsPlusNormal"/>
        <w:ind w:firstLine="176"/>
        <w:jc w:val="both"/>
        <w:rPr>
          <w:rFonts w:ascii="Times New Roman" w:hAnsi="Times New Roman" w:cs="Times New Roman"/>
          <w:sz w:val="24"/>
          <w:szCs w:val="24"/>
        </w:rPr>
      </w:pPr>
    </w:p>
    <w:p w:rsidR="0084590E" w:rsidRPr="00031FC5" w:rsidRDefault="0084590E" w:rsidP="0084590E">
      <w:pPr>
        <w:pStyle w:val="ConsPlusNormal"/>
        <w:ind w:firstLine="176"/>
        <w:jc w:val="both"/>
        <w:rPr>
          <w:rFonts w:ascii="Times New Roman" w:hAnsi="Times New Roman" w:cs="Times New Roman"/>
          <w:sz w:val="24"/>
          <w:szCs w:val="24"/>
        </w:rPr>
      </w:pPr>
      <w:r w:rsidRPr="00E25B6E">
        <w:rPr>
          <w:rFonts w:ascii="Times New Roman" w:hAnsi="Times New Roman" w:cs="Times New Roman"/>
          <w:noProof/>
          <w:position w:val="-31"/>
          <w:sz w:val="24"/>
          <w:szCs w:val="24"/>
        </w:rPr>
        <w:drawing>
          <wp:inline distT="0" distB="0" distL="0" distR="0">
            <wp:extent cx="2234565" cy="532765"/>
            <wp:effectExtent l="0" t="0" r="0" b="635"/>
            <wp:docPr id="3" name="Рисунок 3"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406141_3276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565" cy="532765"/>
                    </a:xfrm>
                    <a:prstGeom prst="rect">
                      <a:avLst/>
                    </a:prstGeom>
                    <a:noFill/>
                    <a:ln>
                      <a:noFill/>
                    </a:ln>
                  </pic:spPr>
                </pic:pic>
              </a:graphicData>
            </a:graphic>
          </wp:inline>
        </w:drawing>
      </w:r>
    </w:p>
    <w:p w:rsidR="0084590E" w:rsidRPr="00031FC5" w:rsidRDefault="0084590E" w:rsidP="0084590E">
      <w:pPr>
        <w:pStyle w:val="ConsPlusNormal"/>
        <w:ind w:firstLine="176"/>
        <w:jc w:val="both"/>
        <w:rPr>
          <w:rFonts w:ascii="Times New Roman" w:hAnsi="Times New Roman" w:cs="Times New Roman"/>
          <w:sz w:val="24"/>
          <w:szCs w:val="24"/>
        </w:rPr>
      </w:pPr>
    </w:p>
    <w:p w:rsidR="0084590E" w:rsidRPr="00E25B6E" w:rsidRDefault="0084590E" w:rsidP="0084590E">
      <w:pPr>
        <w:pStyle w:val="ConsPlusNormal"/>
        <w:ind w:firstLine="176"/>
        <w:jc w:val="both"/>
        <w:rPr>
          <w:rFonts w:ascii="Times New Roman" w:hAnsi="Times New Roman" w:cs="Times New Roman"/>
          <w:color w:val="000000"/>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w:t>
      </w:r>
      <w:r>
        <w:rPr>
          <w:rFonts w:ascii="Times New Roman" w:hAnsi="Times New Roman" w:cs="Times New Roman"/>
          <w:sz w:val="24"/>
          <w:szCs w:val="24"/>
        </w:rPr>
        <w:t>я (максимальная) цена контракта</w:t>
      </w:r>
      <w:r w:rsidRPr="00E25B6E">
        <w:rPr>
          <w:rFonts w:ascii="Times New Roman" w:hAnsi="Times New Roman" w:cs="Times New Roman"/>
          <w:color w:val="000000"/>
          <w:sz w:val="24"/>
          <w:szCs w:val="24"/>
        </w:rPr>
        <w:t xml:space="preserve">, или начальная сумма цен единиц товаров, работ, услуг (в случае, предусмотренном </w:t>
      </w:r>
      <w:hyperlink r:id="rId8" w:history="1">
        <w:r w:rsidRPr="00E25B6E">
          <w:rPr>
            <w:rFonts w:ascii="Times New Roman" w:hAnsi="Times New Roman" w:cs="Times New Roman"/>
            <w:color w:val="000000"/>
            <w:sz w:val="24"/>
            <w:szCs w:val="24"/>
          </w:rPr>
          <w:t>частью 24 статьи 22</w:t>
        </w:r>
      </w:hyperlink>
      <w:r w:rsidRPr="00E25B6E">
        <w:rPr>
          <w:rFonts w:ascii="Times New Roman" w:hAnsi="Times New Roman" w:cs="Times New Roman"/>
          <w:color w:val="000000"/>
          <w:sz w:val="24"/>
          <w:szCs w:val="24"/>
        </w:rPr>
        <w:t xml:space="preserve"> Закона о контрактной системе);</w:t>
      </w:r>
    </w:p>
    <w:p w:rsidR="0084590E" w:rsidRPr="00031FC5" w:rsidRDefault="0084590E" w:rsidP="0084590E">
      <w:pPr>
        <w:pStyle w:val="ConsPlusNormal"/>
        <w:spacing w:before="220"/>
        <w:ind w:firstLine="176"/>
        <w:jc w:val="both"/>
        <w:rPr>
          <w:rFonts w:ascii="Times New Roman" w:hAnsi="Times New Roman" w:cs="Times New Roman"/>
          <w:sz w:val="24"/>
          <w:szCs w:val="24"/>
        </w:rPr>
      </w:pPr>
      <w:proofErr w:type="spellStart"/>
      <w:r w:rsidRPr="00E25B6E">
        <w:rPr>
          <w:rFonts w:ascii="Times New Roman" w:hAnsi="Times New Roman" w:cs="Times New Roman"/>
          <w:color w:val="000000"/>
          <w:sz w:val="24"/>
          <w:szCs w:val="24"/>
        </w:rPr>
        <w:t>Ц</w:t>
      </w:r>
      <w:r w:rsidRPr="00E25B6E">
        <w:rPr>
          <w:rFonts w:ascii="Times New Roman" w:hAnsi="Times New Roman" w:cs="Times New Roman"/>
          <w:color w:val="000000"/>
          <w:sz w:val="24"/>
          <w:szCs w:val="24"/>
          <w:vertAlign w:val="subscript"/>
        </w:rPr>
        <w:t>i</w:t>
      </w:r>
      <w:proofErr w:type="spellEnd"/>
      <w:r w:rsidRPr="00E25B6E">
        <w:rPr>
          <w:rFonts w:ascii="Times New Roman" w:hAnsi="Times New Roman" w:cs="Times New Roman"/>
          <w:color w:val="000000"/>
          <w:sz w:val="24"/>
          <w:szCs w:val="24"/>
        </w:rPr>
        <w:t xml:space="preserve"> - предложение участника закупки о цене контракта, или о сумме цен всех контрактов, заключаемых по результатам проведения </w:t>
      </w:r>
      <w:r>
        <w:rPr>
          <w:rFonts w:ascii="Times New Roman" w:hAnsi="Times New Roman" w:cs="Times New Roman"/>
          <w:color w:val="000000"/>
          <w:sz w:val="24"/>
          <w:szCs w:val="24"/>
        </w:rPr>
        <w:t>электронного</w:t>
      </w:r>
      <w:r w:rsidRPr="00E25B6E">
        <w:rPr>
          <w:rFonts w:ascii="Times New Roman" w:hAnsi="Times New Roman" w:cs="Times New Roman"/>
          <w:color w:val="000000"/>
          <w:sz w:val="24"/>
          <w:szCs w:val="24"/>
        </w:rPr>
        <w:t xml:space="preserve"> конкурса, или о сумме цен единиц товара, работы, услуги (в случае, предусмотренном </w:t>
      </w:r>
      <w:hyperlink r:id="rId9" w:history="1">
        <w:r w:rsidRPr="00E25B6E">
          <w:rPr>
            <w:rFonts w:ascii="Times New Roman" w:hAnsi="Times New Roman" w:cs="Times New Roman"/>
            <w:color w:val="000000"/>
            <w:sz w:val="24"/>
            <w:szCs w:val="24"/>
          </w:rPr>
          <w:t>частью 24 статьи 22</w:t>
        </w:r>
      </w:hyperlink>
      <w:r w:rsidRPr="00E25B6E">
        <w:rPr>
          <w:rFonts w:ascii="Times New Roman" w:hAnsi="Times New Roman" w:cs="Times New Roman"/>
          <w:color w:val="000000"/>
          <w:sz w:val="24"/>
          <w:szCs w:val="24"/>
        </w:rPr>
        <w:t xml:space="preserve"> Закона о контрактной системе</w:t>
      </w:r>
      <w:r w:rsidRPr="00031FC5">
        <w:rPr>
          <w:rFonts w:ascii="Times New Roman" w:hAnsi="Times New Roman" w:cs="Times New Roman"/>
          <w:sz w:val="24"/>
          <w:szCs w:val="24"/>
        </w:rPr>
        <w:t>),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84590E" w:rsidRPr="004D290F" w:rsidRDefault="0084590E" w:rsidP="0084590E">
      <w:pPr>
        <w:pStyle w:val="ConsPlusNormal"/>
        <w:spacing w:before="220"/>
        <w:ind w:firstLine="176"/>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84590E" w:rsidRPr="004D290F" w:rsidRDefault="0084590E" w:rsidP="0084590E">
      <w:pPr>
        <w:pStyle w:val="ConsPlusNormal"/>
        <w:ind w:firstLine="176"/>
        <w:jc w:val="both"/>
        <w:rPr>
          <w:rFonts w:ascii="Times New Roman" w:hAnsi="Times New Roman" w:cs="Times New Roman"/>
          <w:sz w:val="24"/>
          <w:szCs w:val="24"/>
        </w:rPr>
      </w:pPr>
    </w:p>
    <w:p w:rsidR="0084590E" w:rsidRPr="004D290F" w:rsidRDefault="0084590E" w:rsidP="0084590E">
      <w:pPr>
        <w:pStyle w:val="ConsPlusNormal"/>
        <w:spacing w:before="220"/>
        <w:ind w:firstLine="176"/>
        <w:jc w:val="both"/>
        <w:rPr>
          <w:rFonts w:ascii="Times New Roman" w:hAnsi="Times New Roman" w:cs="Times New Roman"/>
          <w:sz w:val="24"/>
          <w:szCs w:val="24"/>
        </w:rPr>
      </w:pPr>
      <w:r w:rsidRPr="004D290F">
        <w:rPr>
          <w:rFonts w:ascii="Times New Roman" w:hAnsi="Times New Roman" w:cs="Times New Roman"/>
          <w:sz w:val="24"/>
          <w:szCs w:val="24"/>
        </w:rPr>
        <w:lastRenderedPageBreak/>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84590E" w:rsidRDefault="0084590E" w:rsidP="0084590E">
      <w:pPr>
        <w:pStyle w:val="ConsPlusNormal"/>
        <w:ind w:firstLine="176"/>
        <w:jc w:val="both"/>
      </w:pPr>
    </w:p>
    <w:p w:rsidR="0084590E" w:rsidRDefault="0084590E" w:rsidP="0084590E">
      <w:pPr>
        <w:widowControl w:val="0"/>
        <w:ind w:right="-39" w:firstLine="176"/>
        <w:jc w:val="both"/>
      </w:pPr>
      <w:r w:rsidRPr="00E25B6E">
        <w:rPr>
          <w:noProof/>
          <w:position w:val="-31"/>
          <w:lang w:eastAsia="ru-RU"/>
        </w:rPr>
        <w:drawing>
          <wp:inline distT="0" distB="0" distL="0" distR="0">
            <wp:extent cx="2043430" cy="532765"/>
            <wp:effectExtent l="0" t="0" r="0" b="635"/>
            <wp:docPr id="2" name="Рисунок 2"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406141_3277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3430" cy="532765"/>
                    </a:xfrm>
                    <a:prstGeom prst="rect">
                      <a:avLst/>
                    </a:prstGeom>
                    <a:noFill/>
                    <a:ln>
                      <a:noFill/>
                    </a:ln>
                  </pic:spPr>
                </pic:pic>
              </a:graphicData>
            </a:graphic>
          </wp:inline>
        </w:drawing>
      </w:r>
    </w:p>
    <w:p w:rsidR="0084590E" w:rsidRDefault="0084590E" w:rsidP="0084590E">
      <w:pPr>
        <w:widowControl w:val="0"/>
        <w:ind w:right="-39" w:firstLine="176"/>
        <w:jc w:val="both"/>
      </w:pPr>
    </w:p>
    <w:p w:rsidR="0084590E" w:rsidRPr="00C9042B" w:rsidRDefault="0084590E" w:rsidP="0084590E">
      <w:pPr>
        <w:pStyle w:val="ConsPlusNormal"/>
        <w:ind w:firstLine="176"/>
        <w:jc w:val="both"/>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84590E" w:rsidRPr="00E25B6E" w:rsidRDefault="0084590E" w:rsidP="0084590E">
      <w:pPr>
        <w:pStyle w:val="ConsPlusNormal"/>
        <w:spacing w:before="220"/>
        <w:ind w:firstLine="176"/>
        <w:jc w:val="both"/>
        <w:rPr>
          <w:rFonts w:ascii="Times New Roman" w:hAnsi="Times New Roman" w:cs="Times New Roman"/>
          <w:color w:val="000000"/>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E25B6E">
        <w:rPr>
          <w:rFonts w:ascii="Times New Roman" w:hAnsi="Times New Roman" w:cs="Times New Roman"/>
          <w:color w:val="000000"/>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84590E" w:rsidRPr="00E25B6E" w:rsidRDefault="0084590E" w:rsidP="0084590E">
      <w:pPr>
        <w:pStyle w:val="ConsPlusNormal"/>
        <w:spacing w:before="220"/>
        <w:ind w:firstLine="176"/>
        <w:jc w:val="both"/>
        <w:rPr>
          <w:rFonts w:ascii="Times New Roman" w:hAnsi="Times New Roman" w:cs="Times New Roman"/>
          <w:color w:val="000000"/>
          <w:sz w:val="24"/>
          <w:szCs w:val="24"/>
        </w:rPr>
      </w:pPr>
      <w:r w:rsidRPr="00E25B6E">
        <w:rPr>
          <w:rFonts w:ascii="Times New Roman" w:hAnsi="Times New Roman" w:cs="Times New Roman"/>
          <w:color w:val="000000"/>
          <w:sz w:val="24"/>
          <w:szCs w:val="24"/>
        </w:rPr>
        <w:t xml:space="preserve">2) значение </w:t>
      </w:r>
      <w:proofErr w:type="spellStart"/>
      <w:r w:rsidRPr="00E25B6E">
        <w:rPr>
          <w:rFonts w:ascii="Times New Roman" w:hAnsi="Times New Roman" w:cs="Times New Roman"/>
          <w:color w:val="000000"/>
          <w:sz w:val="24"/>
          <w:szCs w:val="24"/>
        </w:rPr>
        <w:t>Ц</w:t>
      </w:r>
      <w:r w:rsidRPr="00E25B6E">
        <w:rPr>
          <w:rFonts w:ascii="Times New Roman" w:hAnsi="Times New Roman" w:cs="Times New Roman"/>
          <w:color w:val="000000"/>
          <w:sz w:val="24"/>
          <w:szCs w:val="24"/>
          <w:vertAlign w:val="subscript"/>
        </w:rPr>
        <w:t>л</w:t>
      </w:r>
      <w:proofErr w:type="spellEnd"/>
      <w:r w:rsidRPr="00E25B6E">
        <w:rPr>
          <w:rFonts w:ascii="Times New Roman" w:hAnsi="Times New Roman" w:cs="Times New Roman"/>
          <w:color w:val="000000"/>
          <w:sz w:val="24"/>
          <w:szCs w:val="24"/>
        </w:rPr>
        <w:t xml:space="preserve"> при применении формулы, предусмотренной </w:t>
      </w:r>
      <w:hyperlink w:anchor="P88" w:history="1">
        <w:r w:rsidRPr="00E25B6E">
          <w:rPr>
            <w:rFonts w:ascii="Times New Roman" w:hAnsi="Times New Roman" w:cs="Times New Roman"/>
            <w:color w:val="000000"/>
            <w:sz w:val="24"/>
            <w:szCs w:val="24"/>
          </w:rPr>
          <w:t>подпунктом "а" настоящего пункта</w:t>
        </w:r>
      </w:hyperlink>
      <w:r w:rsidRPr="00E25B6E">
        <w:rPr>
          <w:rFonts w:ascii="Times New Roman" w:hAnsi="Times New Roman" w:cs="Times New Roman"/>
          <w:color w:val="000000"/>
          <w:sz w:val="24"/>
          <w:szCs w:val="24"/>
        </w:rPr>
        <w:t xml:space="preserve">, и значения </w:t>
      </w:r>
      <w:proofErr w:type="spellStart"/>
      <w:r w:rsidRPr="00E25B6E">
        <w:rPr>
          <w:rFonts w:ascii="Times New Roman" w:hAnsi="Times New Roman" w:cs="Times New Roman"/>
          <w:color w:val="000000"/>
          <w:sz w:val="24"/>
          <w:szCs w:val="24"/>
        </w:rPr>
        <w:t>Ц</w:t>
      </w:r>
      <w:r w:rsidRPr="00E25B6E">
        <w:rPr>
          <w:rFonts w:ascii="Times New Roman" w:hAnsi="Times New Roman" w:cs="Times New Roman"/>
          <w:color w:val="000000"/>
          <w:sz w:val="24"/>
          <w:szCs w:val="24"/>
          <w:vertAlign w:val="subscript"/>
        </w:rPr>
        <w:t>л</w:t>
      </w:r>
      <w:proofErr w:type="spellEnd"/>
      <w:r w:rsidRPr="00E25B6E">
        <w:rPr>
          <w:rFonts w:ascii="Times New Roman" w:hAnsi="Times New Roman" w:cs="Times New Roman"/>
          <w:color w:val="000000"/>
          <w:sz w:val="24"/>
          <w:szCs w:val="24"/>
        </w:rPr>
        <w:t xml:space="preserve"> и </w:t>
      </w:r>
      <w:proofErr w:type="spellStart"/>
      <w:r w:rsidRPr="00E25B6E">
        <w:rPr>
          <w:rFonts w:ascii="Times New Roman" w:hAnsi="Times New Roman" w:cs="Times New Roman"/>
          <w:color w:val="000000"/>
          <w:sz w:val="24"/>
          <w:szCs w:val="24"/>
        </w:rPr>
        <w:t>Ц</w:t>
      </w:r>
      <w:r w:rsidRPr="00E25B6E">
        <w:rPr>
          <w:rFonts w:ascii="Times New Roman" w:hAnsi="Times New Roman" w:cs="Times New Roman"/>
          <w:color w:val="000000"/>
          <w:sz w:val="24"/>
          <w:szCs w:val="24"/>
          <w:vertAlign w:val="subscript"/>
        </w:rPr>
        <w:t>i</w:t>
      </w:r>
      <w:proofErr w:type="spellEnd"/>
      <w:r w:rsidRPr="00E25B6E">
        <w:rPr>
          <w:rFonts w:ascii="Times New Roman" w:hAnsi="Times New Roman" w:cs="Times New Roman"/>
          <w:color w:val="000000"/>
          <w:sz w:val="24"/>
          <w:szCs w:val="24"/>
        </w:rPr>
        <w:t xml:space="preserve"> при применении формулы, предусмотренной </w:t>
      </w:r>
      <w:hyperlink w:anchor="P93" w:history="1">
        <w:r w:rsidRPr="00E25B6E">
          <w:rPr>
            <w:rFonts w:ascii="Times New Roman" w:hAnsi="Times New Roman" w:cs="Times New Roman"/>
            <w:color w:val="000000"/>
            <w:sz w:val="24"/>
            <w:szCs w:val="24"/>
          </w:rPr>
          <w:t>подпунктом "б" настоящего пункта</w:t>
        </w:r>
      </w:hyperlink>
      <w:r w:rsidRPr="00E25B6E">
        <w:rPr>
          <w:rFonts w:ascii="Times New Roman" w:hAnsi="Times New Roman" w:cs="Times New Roman"/>
          <w:color w:val="000000"/>
          <w:sz w:val="24"/>
          <w:szCs w:val="24"/>
        </w:rPr>
        <w:t>, указываются без знака "минус".</w:t>
      </w:r>
    </w:p>
    <w:p w:rsidR="0084590E" w:rsidRPr="00E25B6E" w:rsidRDefault="0084590E" w:rsidP="0084590E">
      <w:pPr>
        <w:widowControl w:val="0"/>
        <w:ind w:right="-39" w:firstLine="567"/>
        <w:jc w:val="both"/>
        <w:rPr>
          <w:color w:val="000000"/>
        </w:rPr>
      </w:pPr>
    </w:p>
    <w:p w:rsidR="0084590E" w:rsidRDefault="0084590E" w:rsidP="0084590E">
      <w:pPr>
        <w:widowControl w:val="0"/>
        <w:snapToGrid w:val="0"/>
        <w:ind w:right="-94" w:firstLine="176"/>
        <w:contextualSpacing/>
        <w:jc w:val="both"/>
        <w:rPr>
          <w:b/>
        </w:rPr>
      </w:pPr>
      <w:r w:rsidRPr="00E25B6E">
        <w:rPr>
          <w:b/>
          <w:color w:val="000000"/>
        </w:rPr>
        <w:t>2. Оценка заявок по критерию «Квалификация участников закупки</w:t>
      </w:r>
      <w:r w:rsidRPr="002F0AED">
        <w:rPr>
          <w:b/>
        </w:rPr>
        <w:t>».</w:t>
      </w:r>
      <w:r>
        <w:rPr>
          <w:b/>
        </w:rPr>
        <w:t xml:space="preserve"> </w:t>
      </w:r>
    </w:p>
    <w:p w:rsidR="0084590E" w:rsidRPr="00134D3D" w:rsidRDefault="0084590E" w:rsidP="0084590E">
      <w:pPr>
        <w:widowControl w:val="0"/>
        <w:ind w:right="-39" w:firstLine="176"/>
        <w:jc w:val="both"/>
      </w:pPr>
      <w:r>
        <w:t>З</w:t>
      </w:r>
      <w:r w:rsidRPr="00134D3D">
        <w:t>начимост</w:t>
      </w:r>
      <w:r>
        <w:t>ь</w:t>
      </w:r>
      <w:r w:rsidRPr="00134D3D">
        <w:t xml:space="preserve"> критерия – 40 %</w:t>
      </w:r>
    </w:p>
    <w:p w:rsidR="0084590E" w:rsidRDefault="0084590E" w:rsidP="0084590E">
      <w:pPr>
        <w:widowControl w:val="0"/>
        <w:snapToGrid w:val="0"/>
        <w:ind w:right="-94" w:firstLine="176"/>
        <w:contextualSpacing/>
        <w:jc w:val="both"/>
      </w:pPr>
    </w:p>
    <w:p w:rsidR="0084590E" w:rsidRPr="00752E9D" w:rsidRDefault="0084590E" w:rsidP="0084590E">
      <w:pPr>
        <w:widowControl w:val="0"/>
        <w:ind w:right="-39" w:firstLine="176"/>
        <w:jc w:val="both"/>
        <w:rPr>
          <w:b/>
        </w:rPr>
      </w:pPr>
      <w:r w:rsidRPr="00752E9D">
        <w:rPr>
          <w:b/>
        </w:rPr>
        <w:t>Применяемые показатели данного критерия оценки:</w:t>
      </w:r>
    </w:p>
    <w:p w:rsidR="0084590E" w:rsidRPr="006117C3" w:rsidRDefault="0084590E" w:rsidP="0084590E">
      <w:pPr>
        <w:pStyle w:val="a3"/>
        <w:widowControl w:val="0"/>
        <w:ind w:firstLine="176"/>
        <w:rPr>
          <w:rFonts w:ascii="Times New Roman" w:hAnsi="Times New Roman"/>
          <w:sz w:val="24"/>
          <w:szCs w:val="24"/>
        </w:rPr>
      </w:pPr>
      <w:r w:rsidRPr="006117C3">
        <w:rPr>
          <w:rFonts w:ascii="Times New Roman" w:hAnsi="Times New Roman"/>
          <w:b/>
          <w:sz w:val="24"/>
          <w:szCs w:val="24"/>
        </w:rPr>
        <w:t>2</w:t>
      </w:r>
      <w:r>
        <w:rPr>
          <w:rFonts w:ascii="Times New Roman" w:hAnsi="Times New Roman"/>
          <w:b/>
          <w:sz w:val="24"/>
          <w:szCs w:val="24"/>
        </w:rPr>
        <w:t>.1</w:t>
      </w:r>
      <w:r w:rsidRPr="006117C3">
        <w:rPr>
          <w:rFonts w:ascii="Times New Roman" w:hAnsi="Times New Roman"/>
          <w:b/>
          <w:sz w:val="24"/>
          <w:szCs w:val="24"/>
        </w:rPr>
        <w:t>.</w:t>
      </w:r>
      <w:r w:rsidRPr="006117C3">
        <w:rPr>
          <w:rFonts w:ascii="Times New Roman" w:hAnsi="Times New Roman"/>
          <w:sz w:val="24"/>
          <w:szCs w:val="24"/>
        </w:rPr>
        <w:t xml:space="preserve"> </w:t>
      </w:r>
      <w:r w:rsidRPr="006117C3">
        <w:rPr>
          <w:rFonts w:ascii="Times New Roman" w:hAnsi="Times New Roman"/>
          <w:b/>
          <w:sz w:val="24"/>
          <w:szCs w:val="24"/>
        </w:rPr>
        <w:t>Наличие у участников закупки опыта выполнения работ, связанных с предметом контракта.</w:t>
      </w:r>
    </w:p>
    <w:p w:rsidR="0084590E" w:rsidRPr="006117C3" w:rsidRDefault="0084590E" w:rsidP="0084590E">
      <w:pPr>
        <w:pStyle w:val="a3"/>
        <w:widowControl w:val="0"/>
        <w:ind w:firstLine="176"/>
        <w:rPr>
          <w:rFonts w:ascii="Times New Roman" w:hAnsi="Times New Roman"/>
          <w:sz w:val="24"/>
          <w:szCs w:val="24"/>
        </w:rPr>
      </w:pPr>
      <w:r w:rsidRPr="006117C3">
        <w:rPr>
          <w:rFonts w:ascii="Times New Roman" w:hAnsi="Times New Roman"/>
          <w:sz w:val="24"/>
          <w:szCs w:val="24"/>
        </w:rPr>
        <w:t>Оценка показателя (баллы): 100 баллов.</w:t>
      </w:r>
    </w:p>
    <w:p w:rsidR="0084590E" w:rsidRDefault="0084590E" w:rsidP="0084590E">
      <w:pPr>
        <w:pStyle w:val="a3"/>
        <w:widowControl w:val="0"/>
        <w:ind w:firstLine="176"/>
        <w:rPr>
          <w:rFonts w:ascii="Times New Roman" w:hAnsi="Times New Roman"/>
          <w:sz w:val="24"/>
          <w:szCs w:val="24"/>
        </w:rPr>
      </w:pPr>
      <w:r w:rsidRPr="006117C3">
        <w:rPr>
          <w:rFonts w:ascii="Times New Roman" w:hAnsi="Times New Roman"/>
          <w:sz w:val="24"/>
          <w:szCs w:val="24"/>
        </w:rPr>
        <w:t xml:space="preserve">Значимость </w:t>
      </w:r>
      <w:r w:rsidRPr="00B42D5B">
        <w:rPr>
          <w:rFonts w:ascii="Times New Roman" w:hAnsi="Times New Roman"/>
          <w:sz w:val="24"/>
          <w:szCs w:val="24"/>
        </w:rPr>
        <w:t xml:space="preserve">показателя: </w:t>
      </w:r>
      <w:r>
        <w:rPr>
          <w:rFonts w:ascii="Times New Roman" w:hAnsi="Times New Roman"/>
          <w:sz w:val="24"/>
          <w:szCs w:val="24"/>
        </w:rPr>
        <w:t>10</w:t>
      </w:r>
      <w:r w:rsidRPr="00B42D5B">
        <w:rPr>
          <w:rFonts w:ascii="Times New Roman" w:hAnsi="Times New Roman"/>
          <w:sz w:val="24"/>
          <w:szCs w:val="24"/>
        </w:rPr>
        <w:t>0%.</w:t>
      </w:r>
    </w:p>
    <w:p w:rsidR="0084590E" w:rsidRPr="00752E9D" w:rsidRDefault="0084590E" w:rsidP="0084590E">
      <w:pPr>
        <w:pStyle w:val="a3"/>
        <w:widowControl w:val="0"/>
        <w:ind w:firstLine="176"/>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w:t>
      </w:r>
      <w:r>
        <w:rPr>
          <w:rFonts w:ascii="Times New Roman" w:hAnsi="Times New Roman"/>
          <w:sz w:val="24"/>
          <w:szCs w:val="24"/>
        </w:rPr>
        <w:t>ых участником закупки договоров.</w:t>
      </w:r>
    </w:p>
    <w:p w:rsidR="0084590E" w:rsidRDefault="0084590E" w:rsidP="0084590E">
      <w:pPr>
        <w:pStyle w:val="a3"/>
        <w:widowControl w:val="0"/>
        <w:ind w:firstLine="176"/>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выполнение работ по изготовлению </w:t>
      </w:r>
      <w:r w:rsidRPr="00F83018">
        <w:rPr>
          <w:rFonts w:ascii="Times New Roman" w:hAnsi="Times New Roman"/>
          <w:sz w:val="24"/>
          <w:szCs w:val="24"/>
        </w:rPr>
        <w:t xml:space="preserve">протезов нижних конечностей </w:t>
      </w:r>
      <w:r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rsidR="0084590E" w:rsidRPr="00682D49" w:rsidRDefault="0084590E" w:rsidP="0084590E">
      <w:pPr>
        <w:pStyle w:val="a3"/>
        <w:widowControl w:val="0"/>
        <w:ind w:firstLine="176"/>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84590E" w:rsidRPr="000E7B6F" w:rsidRDefault="0084590E" w:rsidP="0084590E">
      <w:pPr>
        <w:pStyle w:val="a3"/>
        <w:widowControl w:val="0"/>
        <w:ind w:firstLine="176"/>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 xml:space="preserve">при исполнении которых </w:t>
      </w:r>
      <w:r>
        <w:rPr>
          <w:rFonts w:ascii="Times New Roman" w:hAnsi="Times New Roman"/>
          <w:sz w:val="24"/>
          <w:szCs w:val="24"/>
        </w:rPr>
        <w:t>исполнителем</w:t>
      </w:r>
      <w:r w:rsidRPr="000E7B6F">
        <w:rPr>
          <w:rFonts w:ascii="Times New Roman" w:hAnsi="Times New Roman"/>
          <w:sz w:val="24"/>
          <w:szCs w:val="24"/>
        </w:rPr>
        <w:t xml:space="preserve">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84590E" w:rsidRPr="00CC0DFD" w:rsidRDefault="0084590E" w:rsidP="0084590E">
      <w:pPr>
        <w:pStyle w:val="a3"/>
        <w:widowControl w:val="0"/>
        <w:ind w:firstLine="176"/>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84590E" w:rsidRPr="00CC0DFD" w:rsidRDefault="0084590E" w:rsidP="0084590E">
      <w:pPr>
        <w:pStyle w:val="a3"/>
        <w:widowControl w:val="0"/>
        <w:ind w:firstLine="176"/>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84590E" w:rsidRPr="00CC0DFD" w:rsidRDefault="0084590E" w:rsidP="0084590E">
      <w:pPr>
        <w:widowControl w:val="0"/>
        <w:ind w:right="-39" w:firstLine="176"/>
        <w:jc w:val="both"/>
      </w:pPr>
      <w:r w:rsidRPr="00E25B6E">
        <w:rPr>
          <w:noProof/>
          <w:position w:val="-26"/>
          <w:lang w:eastAsia="ru-RU"/>
        </w:rPr>
        <w:drawing>
          <wp:inline distT="0" distB="0" distL="0" distR="0">
            <wp:extent cx="2091055" cy="476885"/>
            <wp:effectExtent l="0" t="0" r="444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1055" cy="476885"/>
                    </a:xfrm>
                    <a:prstGeom prst="rect">
                      <a:avLst/>
                    </a:prstGeom>
                    <a:noFill/>
                    <a:ln>
                      <a:noFill/>
                    </a:ln>
                  </pic:spPr>
                </pic:pic>
              </a:graphicData>
            </a:graphic>
          </wp:inline>
        </w:drawing>
      </w:r>
    </w:p>
    <w:p w:rsidR="0084590E" w:rsidRPr="00CC0DFD" w:rsidRDefault="0084590E" w:rsidP="0084590E">
      <w:pPr>
        <w:pStyle w:val="ConsPlusNormal"/>
        <w:ind w:firstLine="176"/>
        <w:jc w:val="both"/>
        <w:rPr>
          <w:rFonts w:ascii="Times New Roman" w:hAnsi="Times New Roman" w:cs="Times New Roman"/>
          <w:sz w:val="24"/>
          <w:szCs w:val="24"/>
        </w:rPr>
      </w:pPr>
      <w:r w:rsidRPr="00CC0DFD">
        <w:rPr>
          <w:rFonts w:ascii="Times New Roman" w:hAnsi="Times New Roman" w:cs="Times New Roman"/>
          <w:sz w:val="24"/>
          <w:szCs w:val="24"/>
        </w:rPr>
        <w:t>где:</w:t>
      </w:r>
    </w:p>
    <w:p w:rsidR="0084590E" w:rsidRPr="00CC0DFD" w:rsidRDefault="0084590E" w:rsidP="0084590E">
      <w:pPr>
        <w:pStyle w:val="ConsPlusNormal"/>
        <w:spacing w:before="220"/>
        <w:ind w:firstLine="176"/>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1" w:name="_Hlk92815433"/>
      <w:r w:rsidRPr="00B42D5B">
        <w:rPr>
          <w:rFonts w:ascii="Times New Roman" w:hAnsi="Times New Roman" w:cs="Times New Roman"/>
          <w:sz w:val="24"/>
          <w:szCs w:val="24"/>
        </w:rPr>
        <w:t>Квалификация участников закупки"</w:t>
      </w:r>
      <w:bookmarkEnd w:id="1"/>
      <w:r w:rsidRPr="00B42D5B">
        <w:rPr>
          <w:rFonts w:ascii="Times New Roman" w:hAnsi="Times New Roman" w:cs="Times New Roman"/>
          <w:sz w:val="24"/>
          <w:szCs w:val="24"/>
        </w:rPr>
        <w:t>;</w:t>
      </w:r>
    </w:p>
    <w:p w:rsidR="0084590E" w:rsidRPr="00CC0DFD" w:rsidRDefault="0084590E" w:rsidP="0084590E">
      <w:pPr>
        <w:pStyle w:val="ConsPlusNormal"/>
        <w:spacing w:before="220"/>
        <w:ind w:firstLine="176"/>
        <w:jc w:val="both"/>
        <w:rPr>
          <w:rFonts w:ascii="Times New Roman" w:hAnsi="Times New Roman" w:cs="Times New Roman"/>
          <w:sz w:val="24"/>
          <w:szCs w:val="24"/>
        </w:rPr>
      </w:pPr>
      <w:proofErr w:type="spellStart"/>
      <w:r w:rsidRPr="00CC0DFD">
        <w:rPr>
          <w:rFonts w:ascii="Times New Roman" w:hAnsi="Times New Roman" w:cs="Times New Roman"/>
          <w:sz w:val="24"/>
          <w:szCs w:val="24"/>
        </w:rPr>
        <w:lastRenderedPageBreak/>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rFonts w:ascii="Times New Roman" w:hAnsi="Times New Roman" w:cs="Times New Roman"/>
          <w:sz w:val="24"/>
          <w:szCs w:val="24"/>
        </w:rPr>
        <w:t>"</w:t>
      </w:r>
      <w:r w:rsidRPr="00B42D5B">
        <w:rPr>
          <w:rFonts w:ascii="Times New Roman" w:hAnsi="Times New Roman" w:cs="Times New Roman"/>
          <w:sz w:val="24"/>
          <w:szCs w:val="24"/>
        </w:rPr>
        <w:t>Квалификация участников закупки";</w:t>
      </w:r>
    </w:p>
    <w:p w:rsidR="0084590E" w:rsidRPr="00CC0DFD" w:rsidRDefault="0084590E" w:rsidP="0084590E">
      <w:pPr>
        <w:pStyle w:val="ConsPlusNormal"/>
        <w:spacing w:before="220"/>
        <w:ind w:firstLine="176"/>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B42D5B">
        <w:rPr>
          <w:rFonts w:ascii="Times New Roman" w:hAnsi="Times New Roman" w:cs="Times New Roman"/>
          <w:sz w:val="24"/>
          <w:szCs w:val="24"/>
        </w:rPr>
        <w:t>Квалификация участников закупки".</w:t>
      </w:r>
    </w:p>
    <w:p w:rsidR="0084590E" w:rsidRDefault="0084590E" w:rsidP="0084590E">
      <w:pPr>
        <w:snapToGrid w:val="0"/>
        <w:ind w:firstLine="176"/>
        <w:jc w:val="both"/>
        <w:rPr>
          <w:w w:val="105"/>
        </w:rPr>
      </w:pPr>
    </w:p>
    <w:p w:rsidR="00B2083E" w:rsidRDefault="0084590E" w:rsidP="0084590E">
      <w:r>
        <w:rPr>
          <w:w w:val="105"/>
        </w:rPr>
        <w:t>Не</w:t>
      </w:r>
      <w:r w:rsidRPr="00CC0DFD">
        <w:rPr>
          <w:w w:val="105"/>
        </w:rPr>
        <w:t>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sectPr w:rsidR="00B2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0E"/>
    <w:rsid w:val="00003253"/>
    <w:rsid w:val="00003C36"/>
    <w:rsid w:val="00023042"/>
    <w:rsid w:val="00033BFD"/>
    <w:rsid w:val="0004117A"/>
    <w:rsid w:val="000416D5"/>
    <w:rsid w:val="0004294E"/>
    <w:rsid w:val="00044F7A"/>
    <w:rsid w:val="00062421"/>
    <w:rsid w:val="00072617"/>
    <w:rsid w:val="0009243B"/>
    <w:rsid w:val="000A080D"/>
    <w:rsid w:val="000A0F02"/>
    <w:rsid w:val="000A12C3"/>
    <w:rsid w:val="000A4157"/>
    <w:rsid w:val="000A52B6"/>
    <w:rsid w:val="000B0537"/>
    <w:rsid w:val="000B667C"/>
    <w:rsid w:val="000C3EBA"/>
    <w:rsid w:val="000D0DC6"/>
    <w:rsid w:val="000D11C3"/>
    <w:rsid w:val="000D7DE0"/>
    <w:rsid w:val="000F0924"/>
    <w:rsid w:val="000F4B3A"/>
    <w:rsid w:val="000F574A"/>
    <w:rsid w:val="00114751"/>
    <w:rsid w:val="00121992"/>
    <w:rsid w:val="00126BEE"/>
    <w:rsid w:val="00131272"/>
    <w:rsid w:val="00145DD2"/>
    <w:rsid w:val="001551F8"/>
    <w:rsid w:val="001612EF"/>
    <w:rsid w:val="0017620E"/>
    <w:rsid w:val="00182D75"/>
    <w:rsid w:val="001958C5"/>
    <w:rsid w:val="001A7F6F"/>
    <w:rsid w:val="001C552A"/>
    <w:rsid w:val="001D3264"/>
    <w:rsid w:val="001D53F2"/>
    <w:rsid w:val="001D746B"/>
    <w:rsid w:val="001E0149"/>
    <w:rsid w:val="001E01AD"/>
    <w:rsid w:val="001E1EFE"/>
    <w:rsid w:val="001E26CC"/>
    <w:rsid w:val="001E73D4"/>
    <w:rsid w:val="001F282D"/>
    <w:rsid w:val="001F2A1F"/>
    <w:rsid w:val="001F3A6B"/>
    <w:rsid w:val="001F53DF"/>
    <w:rsid w:val="001F5E7C"/>
    <w:rsid w:val="001F6FD8"/>
    <w:rsid w:val="00210F07"/>
    <w:rsid w:val="002210D2"/>
    <w:rsid w:val="00227BDB"/>
    <w:rsid w:val="00230B2B"/>
    <w:rsid w:val="00231EEE"/>
    <w:rsid w:val="0023333F"/>
    <w:rsid w:val="00237C55"/>
    <w:rsid w:val="0024105A"/>
    <w:rsid w:val="00241E01"/>
    <w:rsid w:val="00253810"/>
    <w:rsid w:val="00257AD0"/>
    <w:rsid w:val="00261096"/>
    <w:rsid w:val="00262009"/>
    <w:rsid w:val="00264AAB"/>
    <w:rsid w:val="00273DCE"/>
    <w:rsid w:val="00274F2C"/>
    <w:rsid w:val="00276BED"/>
    <w:rsid w:val="002833B9"/>
    <w:rsid w:val="002853B0"/>
    <w:rsid w:val="00286570"/>
    <w:rsid w:val="00290CF8"/>
    <w:rsid w:val="00292B3B"/>
    <w:rsid w:val="002936EC"/>
    <w:rsid w:val="002A0A30"/>
    <w:rsid w:val="002B139E"/>
    <w:rsid w:val="002C1E42"/>
    <w:rsid w:val="002C2C0B"/>
    <w:rsid w:val="002D59C8"/>
    <w:rsid w:val="002E0297"/>
    <w:rsid w:val="002E3B8D"/>
    <w:rsid w:val="002F1319"/>
    <w:rsid w:val="002F1A1D"/>
    <w:rsid w:val="002F2057"/>
    <w:rsid w:val="002F282F"/>
    <w:rsid w:val="00320101"/>
    <w:rsid w:val="0032239E"/>
    <w:rsid w:val="00335F67"/>
    <w:rsid w:val="00336DBB"/>
    <w:rsid w:val="003422A7"/>
    <w:rsid w:val="00344BFD"/>
    <w:rsid w:val="00347E9C"/>
    <w:rsid w:val="003519BA"/>
    <w:rsid w:val="00355AC1"/>
    <w:rsid w:val="0035699E"/>
    <w:rsid w:val="00360FD3"/>
    <w:rsid w:val="00363BC3"/>
    <w:rsid w:val="00376CC7"/>
    <w:rsid w:val="00380FC8"/>
    <w:rsid w:val="00386AB7"/>
    <w:rsid w:val="00386BC3"/>
    <w:rsid w:val="00391350"/>
    <w:rsid w:val="00393BC8"/>
    <w:rsid w:val="00394DEB"/>
    <w:rsid w:val="003A1451"/>
    <w:rsid w:val="003B20A0"/>
    <w:rsid w:val="003B46CB"/>
    <w:rsid w:val="003B6A60"/>
    <w:rsid w:val="003C25A8"/>
    <w:rsid w:val="003C320D"/>
    <w:rsid w:val="003D18F3"/>
    <w:rsid w:val="003D4D44"/>
    <w:rsid w:val="003E3733"/>
    <w:rsid w:val="003E3D72"/>
    <w:rsid w:val="003F382E"/>
    <w:rsid w:val="003F4355"/>
    <w:rsid w:val="0040427A"/>
    <w:rsid w:val="00406109"/>
    <w:rsid w:val="00414B9A"/>
    <w:rsid w:val="0041665F"/>
    <w:rsid w:val="00423E06"/>
    <w:rsid w:val="00434512"/>
    <w:rsid w:val="00435F56"/>
    <w:rsid w:val="0043692A"/>
    <w:rsid w:val="004423DF"/>
    <w:rsid w:val="00442732"/>
    <w:rsid w:val="004509AC"/>
    <w:rsid w:val="00450C1A"/>
    <w:rsid w:val="00456CC6"/>
    <w:rsid w:val="00465FA7"/>
    <w:rsid w:val="00480CEA"/>
    <w:rsid w:val="00482C0C"/>
    <w:rsid w:val="00483D19"/>
    <w:rsid w:val="004862B4"/>
    <w:rsid w:val="004A7FC6"/>
    <w:rsid w:val="004B0526"/>
    <w:rsid w:val="004B2C74"/>
    <w:rsid w:val="004B2E2A"/>
    <w:rsid w:val="004B44EA"/>
    <w:rsid w:val="004B50DD"/>
    <w:rsid w:val="004B7974"/>
    <w:rsid w:val="004C613B"/>
    <w:rsid w:val="004D4C2F"/>
    <w:rsid w:val="004E2F70"/>
    <w:rsid w:val="004F6270"/>
    <w:rsid w:val="00505214"/>
    <w:rsid w:val="00514A20"/>
    <w:rsid w:val="00525A2F"/>
    <w:rsid w:val="00526F5B"/>
    <w:rsid w:val="00535347"/>
    <w:rsid w:val="00542AF0"/>
    <w:rsid w:val="00542C24"/>
    <w:rsid w:val="0055263B"/>
    <w:rsid w:val="00552A81"/>
    <w:rsid w:val="005558AE"/>
    <w:rsid w:val="0055630B"/>
    <w:rsid w:val="0056436D"/>
    <w:rsid w:val="0057743E"/>
    <w:rsid w:val="00577834"/>
    <w:rsid w:val="005806FE"/>
    <w:rsid w:val="00591FA7"/>
    <w:rsid w:val="00596DE9"/>
    <w:rsid w:val="005C219C"/>
    <w:rsid w:val="005D318A"/>
    <w:rsid w:val="005D426D"/>
    <w:rsid w:val="005D6407"/>
    <w:rsid w:val="005E455B"/>
    <w:rsid w:val="005F1955"/>
    <w:rsid w:val="00615F27"/>
    <w:rsid w:val="00621112"/>
    <w:rsid w:val="006306FA"/>
    <w:rsid w:val="00636617"/>
    <w:rsid w:val="00642F96"/>
    <w:rsid w:val="00664999"/>
    <w:rsid w:val="006703B7"/>
    <w:rsid w:val="0067490A"/>
    <w:rsid w:val="00674DB4"/>
    <w:rsid w:val="006901E8"/>
    <w:rsid w:val="00692B44"/>
    <w:rsid w:val="006A0908"/>
    <w:rsid w:val="006A416F"/>
    <w:rsid w:val="006A629E"/>
    <w:rsid w:val="006A747F"/>
    <w:rsid w:val="006D42D4"/>
    <w:rsid w:val="006E3396"/>
    <w:rsid w:val="006E3BCE"/>
    <w:rsid w:val="006F7CAE"/>
    <w:rsid w:val="00702419"/>
    <w:rsid w:val="00704E2A"/>
    <w:rsid w:val="007059D2"/>
    <w:rsid w:val="00726282"/>
    <w:rsid w:val="00727278"/>
    <w:rsid w:val="007406BB"/>
    <w:rsid w:val="00741875"/>
    <w:rsid w:val="007425F0"/>
    <w:rsid w:val="007453FF"/>
    <w:rsid w:val="00751D65"/>
    <w:rsid w:val="007602EA"/>
    <w:rsid w:val="00765864"/>
    <w:rsid w:val="007678E9"/>
    <w:rsid w:val="00767CAD"/>
    <w:rsid w:val="00775E52"/>
    <w:rsid w:val="00780D76"/>
    <w:rsid w:val="007810C5"/>
    <w:rsid w:val="00793045"/>
    <w:rsid w:val="007A09FC"/>
    <w:rsid w:val="007A137E"/>
    <w:rsid w:val="007B7282"/>
    <w:rsid w:val="007C7F46"/>
    <w:rsid w:val="007D169F"/>
    <w:rsid w:val="007D1873"/>
    <w:rsid w:val="007E05C7"/>
    <w:rsid w:val="007E5758"/>
    <w:rsid w:val="007F73FA"/>
    <w:rsid w:val="00801BB5"/>
    <w:rsid w:val="00810611"/>
    <w:rsid w:val="00810CD7"/>
    <w:rsid w:val="00813A79"/>
    <w:rsid w:val="008207B1"/>
    <w:rsid w:val="00820AF3"/>
    <w:rsid w:val="00826C0D"/>
    <w:rsid w:val="00836146"/>
    <w:rsid w:val="00845814"/>
    <w:rsid w:val="0084590E"/>
    <w:rsid w:val="00853864"/>
    <w:rsid w:val="00860080"/>
    <w:rsid w:val="00862219"/>
    <w:rsid w:val="00863F82"/>
    <w:rsid w:val="00865B57"/>
    <w:rsid w:val="008679AB"/>
    <w:rsid w:val="00872B3A"/>
    <w:rsid w:val="00876F3C"/>
    <w:rsid w:val="00886D9B"/>
    <w:rsid w:val="008A0A1A"/>
    <w:rsid w:val="008C5B1F"/>
    <w:rsid w:val="008C6FCE"/>
    <w:rsid w:val="008C7676"/>
    <w:rsid w:val="008F29CF"/>
    <w:rsid w:val="00900DBC"/>
    <w:rsid w:val="00905B61"/>
    <w:rsid w:val="00911F1A"/>
    <w:rsid w:val="00912085"/>
    <w:rsid w:val="00913F02"/>
    <w:rsid w:val="00925A51"/>
    <w:rsid w:val="00931BB5"/>
    <w:rsid w:val="00934CCF"/>
    <w:rsid w:val="00950413"/>
    <w:rsid w:val="00960435"/>
    <w:rsid w:val="00963E09"/>
    <w:rsid w:val="009662D3"/>
    <w:rsid w:val="00967DA5"/>
    <w:rsid w:val="00971845"/>
    <w:rsid w:val="009739C0"/>
    <w:rsid w:val="0097684B"/>
    <w:rsid w:val="00981255"/>
    <w:rsid w:val="0098787E"/>
    <w:rsid w:val="009A426D"/>
    <w:rsid w:val="009B5E28"/>
    <w:rsid w:val="009C0729"/>
    <w:rsid w:val="009C4144"/>
    <w:rsid w:val="009C4A88"/>
    <w:rsid w:val="009C541B"/>
    <w:rsid w:val="009C5CFA"/>
    <w:rsid w:val="009D4F06"/>
    <w:rsid w:val="009D6E10"/>
    <w:rsid w:val="009E06D6"/>
    <w:rsid w:val="009E655B"/>
    <w:rsid w:val="00A12CDE"/>
    <w:rsid w:val="00A12EF8"/>
    <w:rsid w:val="00A16F5C"/>
    <w:rsid w:val="00A22044"/>
    <w:rsid w:val="00A267EB"/>
    <w:rsid w:val="00A26A08"/>
    <w:rsid w:val="00A31815"/>
    <w:rsid w:val="00A34EBB"/>
    <w:rsid w:val="00A457E8"/>
    <w:rsid w:val="00A51776"/>
    <w:rsid w:val="00A55106"/>
    <w:rsid w:val="00A57EB9"/>
    <w:rsid w:val="00A6685E"/>
    <w:rsid w:val="00A8114F"/>
    <w:rsid w:val="00A8408E"/>
    <w:rsid w:val="00A86DF0"/>
    <w:rsid w:val="00A87D39"/>
    <w:rsid w:val="00A91AFD"/>
    <w:rsid w:val="00A91C01"/>
    <w:rsid w:val="00A93700"/>
    <w:rsid w:val="00A94E4C"/>
    <w:rsid w:val="00A970A2"/>
    <w:rsid w:val="00AA2A12"/>
    <w:rsid w:val="00AA3F56"/>
    <w:rsid w:val="00AB7C66"/>
    <w:rsid w:val="00AC0E04"/>
    <w:rsid w:val="00AC4481"/>
    <w:rsid w:val="00AC6B12"/>
    <w:rsid w:val="00AD024A"/>
    <w:rsid w:val="00AD535F"/>
    <w:rsid w:val="00AE2091"/>
    <w:rsid w:val="00AE6AA9"/>
    <w:rsid w:val="00AF267C"/>
    <w:rsid w:val="00B04F40"/>
    <w:rsid w:val="00B059DE"/>
    <w:rsid w:val="00B15D13"/>
    <w:rsid w:val="00B2083E"/>
    <w:rsid w:val="00B315F6"/>
    <w:rsid w:val="00B34843"/>
    <w:rsid w:val="00B35826"/>
    <w:rsid w:val="00B44C60"/>
    <w:rsid w:val="00B46FDA"/>
    <w:rsid w:val="00B50908"/>
    <w:rsid w:val="00B51D0A"/>
    <w:rsid w:val="00B714FB"/>
    <w:rsid w:val="00B81E1E"/>
    <w:rsid w:val="00B82F23"/>
    <w:rsid w:val="00BA01DA"/>
    <w:rsid w:val="00BA1EE2"/>
    <w:rsid w:val="00BA2EC0"/>
    <w:rsid w:val="00BA72AD"/>
    <w:rsid w:val="00BB341E"/>
    <w:rsid w:val="00BB373C"/>
    <w:rsid w:val="00BB4995"/>
    <w:rsid w:val="00BC1D18"/>
    <w:rsid w:val="00BC43F4"/>
    <w:rsid w:val="00BC5A17"/>
    <w:rsid w:val="00BC606C"/>
    <w:rsid w:val="00BC6519"/>
    <w:rsid w:val="00BD026E"/>
    <w:rsid w:val="00BD0D69"/>
    <w:rsid w:val="00BD0DB4"/>
    <w:rsid w:val="00BD3411"/>
    <w:rsid w:val="00BD3480"/>
    <w:rsid w:val="00BD78C4"/>
    <w:rsid w:val="00BF1564"/>
    <w:rsid w:val="00BF367F"/>
    <w:rsid w:val="00BF4215"/>
    <w:rsid w:val="00C035D1"/>
    <w:rsid w:val="00C06F7B"/>
    <w:rsid w:val="00C21510"/>
    <w:rsid w:val="00C22B7B"/>
    <w:rsid w:val="00C25D70"/>
    <w:rsid w:val="00C30C6D"/>
    <w:rsid w:val="00C322C0"/>
    <w:rsid w:val="00C32322"/>
    <w:rsid w:val="00C354F3"/>
    <w:rsid w:val="00C50EFE"/>
    <w:rsid w:val="00C561EB"/>
    <w:rsid w:val="00C57C88"/>
    <w:rsid w:val="00C630A0"/>
    <w:rsid w:val="00C67CB9"/>
    <w:rsid w:val="00C745CE"/>
    <w:rsid w:val="00C75593"/>
    <w:rsid w:val="00C936C6"/>
    <w:rsid w:val="00C93EC3"/>
    <w:rsid w:val="00CB2BCF"/>
    <w:rsid w:val="00CC6175"/>
    <w:rsid w:val="00CC62EE"/>
    <w:rsid w:val="00CD060A"/>
    <w:rsid w:val="00CD2E5D"/>
    <w:rsid w:val="00CE7B2A"/>
    <w:rsid w:val="00CF1C69"/>
    <w:rsid w:val="00CF241D"/>
    <w:rsid w:val="00D05638"/>
    <w:rsid w:val="00D129C1"/>
    <w:rsid w:val="00D16C15"/>
    <w:rsid w:val="00D20398"/>
    <w:rsid w:val="00D36B9C"/>
    <w:rsid w:val="00D40046"/>
    <w:rsid w:val="00D4176D"/>
    <w:rsid w:val="00D42297"/>
    <w:rsid w:val="00D46491"/>
    <w:rsid w:val="00D47038"/>
    <w:rsid w:val="00D63134"/>
    <w:rsid w:val="00D63C4A"/>
    <w:rsid w:val="00D70C48"/>
    <w:rsid w:val="00D7548D"/>
    <w:rsid w:val="00D77024"/>
    <w:rsid w:val="00D826EB"/>
    <w:rsid w:val="00D848A9"/>
    <w:rsid w:val="00D86C67"/>
    <w:rsid w:val="00D86E30"/>
    <w:rsid w:val="00DA1B4E"/>
    <w:rsid w:val="00DA2B86"/>
    <w:rsid w:val="00DB3DA9"/>
    <w:rsid w:val="00DB468E"/>
    <w:rsid w:val="00DB66F1"/>
    <w:rsid w:val="00DC4597"/>
    <w:rsid w:val="00DD3DFE"/>
    <w:rsid w:val="00DF0568"/>
    <w:rsid w:val="00DF6771"/>
    <w:rsid w:val="00E11C9F"/>
    <w:rsid w:val="00E13107"/>
    <w:rsid w:val="00E16C13"/>
    <w:rsid w:val="00E274CB"/>
    <w:rsid w:val="00E32D59"/>
    <w:rsid w:val="00E36C5C"/>
    <w:rsid w:val="00E41929"/>
    <w:rsid w:val="00E43460"/>
    <w:rsid w:val="00E5062F"/>
    <w:rsid w:val="00E521E7"/>
    <w:rsid w:val="00E57FC2"/>
    <w:rsid w:val="00E701AA"/>
    <w:rsid w:val="00E73020"/>
    <w:rsid w:val="00E7435E"/>
    <w:rsid w:val="00E7516F"/>
    <w:rsid w:val="00E77A9C"/>
    <w:rsid w:val="00E865D6"/>
    <w:rsid w:val="00E90E49"/>
    <w:rsid w:val="00EA3801"/>
    <w:rsid w:val="00EA4B14"/>
    <w:rsid w:val="00EB1104"/>
    <w:rsid w:val="00EB29BD"/>
    <w:rsid w:val="00ED114B"/>
    <w:rsid w:val="00ED6FEF"/>
    <w:rsid w:val="00ED767B"/>
    <w:rsid w:val="00EE0B51"/>
    <w:rsid w:val="00EE6709"/>
    <w:rsid w:val="00EF2834"/>
    <w:rsid w:val="00EF3DAF"/>
    <w:rsid w:val="00EF4BE0"/>
    <w:rsid w:val="00EF6441"/>
    <w:rsid w:val="00F07E3A"/>
    <w:rsid w:val="00F21CC2"/>
    <w:rsid w:val="00F33F5B"/>
    <w:rsid w:val="00F43A8A"/>
    <w:rsid w:val="00F512E4"/>
    <w:rsid w:val="00F54206"/>
    <w:rsid w:val="00F5609E"/>
    <w:rsid w:val="00F9281B"/>
    <w:rsid w:val="00FA136C"/>
    <w:rsid w:val="00FA437D"/>
    <w:rsid w:val="00FB238F"/>
    <w:rsid w:val="00FB4651"/>
    <w:rsid w:val="00FB7FA7"/>
    <w:rsid w:val="00FC3DDE"/>
    <w:rsid w:val="00FD31E3"/>
    <w:rsid w:val="00FE3752"/>
    <w:rsid w:val="00FE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9BBA0-4F35-47B7-9ACB-BCF9A9D9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9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590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4590E"/>
    <w:rPr>
      <w:rFonts w:ascii="Arial" w:eastAsia="Times New Roman" w:hAnsi="Arial" w:cs="Arial"/>
      <w:sz w:val="20"/>
      <w:szCs w:val="20"/>
      <w:lang w:eastAsia="ru-RU"/>
    </w:rPr>
  </w:style>
  <w:style w:type="paragraph" w:styleId="a3">
    <w:name w:val="No Spacing"/>
    <w:qFormat/>
    <w:rsid w:val="0084590E"/>
    <w:pPr>
      <w:spacing w:after="0" w:line="240" w:lineRule="auto"/>
      <w:ind w:firstLine="709"/>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206B45D0782682C76A26BA0FC405A5207D3E8F266694BC75AAAD2AD08E343D74D49499E8F0E431D54A8CD6D9AF609CE643CA71F66T0ZA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4.wmf"/><Relationship Id="rId5" Type="http://schemas.openxmlformats.org/officeDocument/2006/relationships/hyperlink" Target="consultantplus://offline/ref=607206B45D0782682C76A26BA0FC405A5207D3E8F266694BC75AAAD2AD08E343D74D49499E8F0E431D54A8CD6D9AF609CE643CA71F66T0ZAK" TargetMode="Externa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hyperlink" Target="consultantplus://offline/ref=607206B45D0782682C76A26BA0FC405A5207D3E8F266694BC75AAAD2AD08E343D74D49499E8F0E431D54A8CD6D9AF609CE643CA71F66T0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2022-02-18T10:31:00Z</dcterms:created>
  <dcterms:modified xsi:type="dcterms:W3CDTF">2022-02-18T10:32:00Z</dcterms:modified>
</cp:coreProperties>
</file>