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ПОРЯДОК</w:t>
            </w:r>
          </w:p>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рассмотрения и оценки заявок на участие в конкурсе</w:t>
            </w:r>
          </w:p>
        </w:tc>
      </w:tr>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Коды</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Полное наименование</w:t>
            </w: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70178003855</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Государственное учреждение – Томское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701701001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634034, Российская Федерация, г. Томск, ул. Белинского, 61</w:t>
            </w:r>
            <w:r>
              <w:rPr>
                <w:sz w:val="24"/>
                <w:szCs w:val="24"/>
              </w:rPr>
              <w:t xml:space="preserve">, </w:t>
            </w:r>
            <w:r w:rsidRPr="00C92222">
              <w:rPr>
                <w:sz w:val="24"/>
                <w:szCs w:val="24"/>
              </w:rPr>
              <w:t>8 (3822) 608477</w:t>
            </w:r>
            <w:r>
              <w:rPr>
                <w:sz w:val="24"/>
                <w:szCs w:val="24"/>
              </w:rPr>
              <w:t xml:space="preserve">, </w:t>
            </w:r>
            <w:r w:rsidRPr="00C92222">
              <w:rPr>
                <w:sz w:val="24"/>
                <w:szCs w:val="24"/>
                <w:lang w:val="en-US"/>
              </w:rPr>
              <w:t>info</w:t>
            </w:r>
            <w:r w:rsidRPr="00C92222">
              <w:rPr>
                <w:sz w:val="24"/>
                <w:szCs w:val="24"/>
              </w:rPr>
              <w:t>@</w:t>
            </w:r>
            <w:proofErr w:type="spellStart"/>
            <w:r w:rsidRPr="00C92222">
              <w:rPr>
                <w:sz w:val="24"/>
                <w:szCs w:val="24"/>
                <w:lang w:val="en-US"/>
              </w:rPr>
              <w:t>ro</w:t>
            </w:r>
            <w:proofErr w:type="spellEnd"/>
            <w:r w:rsidRPr="00C92222">
              <w:rPr>
                <w:sz w:val="24"/>
                <w:szCs w:val="24"/>
              </w:rPr>
              <w:t>70.</w:t>
            </w:r>
            <w:proofErr w:type="spellStart"/>
            <w:r w:rsidRPr="00C92222">
              <w:rPr>
                <w:sz w:val="24"/>
                <w:szCs w:val="24"/>
                <w:lang w:val="en-US"/>
              </w:rPr>
              <w:t>fss</w:t>
            </w:r>
            <w:proofErr w:type="spellEnd"/>
            <w:r w:rsidRPr="00C92222">
              <w:rPr>
                <w:sz w:val="24"/>
                <w:szCs w:val="24"/>
              </w:rPr>
              <w:t>.</w:t>
            </w:r>
            <w:proofErr w:type="spellStart"/>
            <w:r w:rsidRPr="00C92222">
              <w:rPr>
                <w:sz w:val="24"/>
                <w:szCs w:val="24"/>
                <w:lang w:val="en-US"/>
              </w:rPr>
              <w:t>ru</w:t>
            </w:r>
            <w:proofErr w:type="spellEnd"/>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300833" w:rsidRDefault="00300833"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300833">
              <w:rPr>
                <w:rFonts w:eastAsiaTheme="minorHAnsi"/>
                <w:bCs/>
                <w:szCs w:val="22"/>
                <w:lang w:eastAsia="en-US"/>
              </w:rPr>
              <w:t>69701000001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7663E5" w:rsidRPr="0040785B" w:rsidRDefault="00FD3D19" w:rsidP="007663E5">
            <w:pPr>
              <w:widowControl/>
              <w:tabs>
                <w:tab w:val="clear" w:pos="552"/>
              </w:tabs>
              <w:suppressAutoHyphens w:val="0"/>
              <w:autoSpaceDE w:val="0"/>
              <w:autoSpaceDN w:val="0"/>
              <w:adjustRightInd w:val="0"/>
              <w:spacing w:line="240" w:lineRule="auto"/>
              <w:rPr>
                <w:sz w:val="24"/>
                <w:szCs w:val="24"/>
              </w:rPr>
            </w:pPr>
            <w:r>
              <w:rPr>
                <w:sz w:val="24"/>
                <w:szCs w:val="24"/>
                <w:lang w:eastAsia="ru-RU"/>
              </w:rPr>
              <w:t>Выполнение работ по обеспечению инвалида протезом верхней конечности</w:t>
            </w:r>
          </w:p>
        </w:tc>
        <w:tc>
          <w:tcPr>
            <w:tcW w:w="2381" w:type="dxa"/>
            <w:gridSpan w:val="2"/>
            <w:tcBorders>
              <w:top w:val="single" w:sz="4" w:space="0" w:color="auto"/>
              <w:bottom w:val="single" w:sz="4" w:space="0" w:color="auto"/>
              <w:right w:val="single" w:sz="4" w:space="0" w:color="auto"/>
            </w:tcBorders>
          </w:tcPr>
          <w:p w:rsidR="007663E5" w:rsidRPr="0040785B" w:rsidRDefault="007663E5" w:rsidP="007663E5">
            <w:pPr>
              <w:widowControl/>
              <w:tabs>
                <w:tab w:val="clear" w:pos="552"/>
              </w:tabs>
              <w:suppressAutoHyphens w:val="0"/>
              <w:autoSpaceDE w:val="0"/>
              <w:autoSpaceDN w:val="0"/>
              <w:adjustRightInd w:val="0"/>
              <w:spacing w:line="240" w:lineRule="auto"/>
              <w:rPr>
                <w:sz w:val="24"/>
                <w:szCs w:val="24"/>
              </w:rPr>
            </w:pP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7663E5">
              <w:rPr>
                <w:rFonts w:eastAsiaTheme="minorHAnsi"/>
                <w:szCs w:val="22"/>
                <w:lang w:eastAsia="en-US"/>
              </w:rPr>
              <w:t>II. Критерии и показатели оценки заявок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lastRenderedPageBreak/>
              <w:t>N</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Критерий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критерия оценки, процентов</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оценки, процентов</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 детализирующий показатель оценки</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детализирующего показатель оценки, процентов</w:t>
            </w:r>
          </w:p>
        </w:tc>
        <w:tc>
          <w:tcPr>
            <w:tcW w:w="425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Формула оценки или шкала оценки</w:t>
            </w:r>
          </w:p>
        </w:tc>
      </w:tr>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Цена контракта, сумма цен единиц товара, работы, услуги</w:t>
            </w:r>
          </w:p>
        </w:tc>
        <w:tc>
          <w:tcPr>
            <w:tcW w:w="850" w:type="dxa"/>
          </w:tcPr>
          <w:p w:rsidR="007663E5" w:rsidRPr="007663E5" w:rsidRDefault="000615F8"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r w:rsidR="007663E5" w:rsidRPr="007663E5">
              <w:rPr>
                <w:rFonts w:eastAsiaTheme="minorHAnsi"/>
                <w:szCs w:val="22"/>
                <w:lang w:eastAsia="en-US"/>
              </w:rPr>
              <w:t xml:space="preserve"> </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4252" w:type="dxa"/>
          </w:tcPr>
          <w:p w:rsidR="00C32FC2" w:rsidRPr="00031FC5" w:rsidRDefault="00C32FC2" w:rsidP="00C32FC2">
            <w:pPr>
              <w:keepNext/>
              <w:keepLines/>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B867923" wp14:editId="60E1F19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Pr="00B42D5B">
              <w:rPr>
                <w:rFonts w:ascii="Times New Roman" w:hAnsi="Times New Roman" w:cs="Times New Roman"/>
                <w:color w:val="000000" w:themeColor="text1"/>
                <w:sz w:val="24"/>
                <w:szCs w:val="24"/>
              </w:rPr>
              <w:lastRenderedPageBreak/>
              <w:t xml:space="preserve">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определяется в </w:t>
            </w:r>
            <w:r w:rsidRPr="00031FC5">
              <w:rPr>
                <w:rFonts w:ascii="Times New Roman" w:hAnsi="Times New Roman" w:cs="Times New Roman"/>
                <w:sz w:val="24"/>
                <w:szCs w:val="24"/>
              </w:rPr>
              <w:lastRenderedPageBreak/>
              <w:t>следующем порядке:</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6FEA27F" wp14:editId="01ACBE2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32FC2" w:rsidRPr="00031FC5" w:rsidRDefault="00C32FC2" w:rsidP="00C32FC2">
            <w:pPr>
              <w:pStyle w:val="ConsPlusNormal"/>
              <w:rPr>
                <w:rFonts w:ascii="Times New Roman" w:hAnsi="Times New Roman" w:cs="Times New Roman"/>
                <w:sz w:val="24"/>
                <w:szCs w:val="24"/>
              </w:rPr>
            </w:pPr>
          </w:p>
          <w:p w:rsidR="00C32FC2" w:rsidRPr="00B42D5B" w:rsidRDefault="00C32FC2" w:rsidP="00C32FC2">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w:t>
            </w:r>
            <w:r w:rsidRPr="00B42D5B">
              <w:rPr>
                <w:rFonts w:ascii="Times New Roman" w:hAnsi="Times New Roman" w:cs="Times New Roman"/>
                <w:color w:val="000000" w:themeColor="text1"/>
                <w:sz w:val="24"/>
                <w:szCs w:val="24"/>
              </w:rPr>
              <w:lastRenderedPageBreak/>
              <w:t xml:space="preserve">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4D290F"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32FC2" w:rsidRPr="004D290F" w:rsidRDefault="00C32FC2" w:rsidP="00C32FC2">
            <w:pPr>
              <w:pStyle w:val="ConsPlusNormal"/>
              <w:ind w:firstLine="540"/>
              <w:rPr>
                <w:rFonts w:ascii="Times New Roman" w:hAnsi="Times New Roman" w:cs="Times New Roman"/>
                <w:sz w:val="24"/>
                <w:szCs w:val="24"/>
              </w:rPr>
            </w:pPr>
          </w:p>
          <w:p w:rsidR="00C32FC2" w:rsidRPr="004D290F" w:rsidRDefault="00C32FC2" w:rsidP="00C32FC2">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C32FC2" w:rsidRDefault="00C32FC2" w:rsidP="00C32FC2">
            <w:pPr>
              <w:pStyle w:val="ConsPlusNormal"/>
            </w:pPr>
          </w:p>
          <w:p w:rsidR="00C32FC2" w:rsidRDefault="00C32FC2" w:rsidP="00C32FC2">
            <w:pPr>
              <w:keepNext/>
              <w:keepLines/>
              <w:ind w:right="-39" w:firstLine="567"/>
            </w:pPr>
            <w:r>
              <w:rPr>
                <w:noProof/>
                <w:position w:val="-31"/>
                <w:lang w:eastAsia="ru-RU"/>
              </w:rPr>
              <w:drawing>
                <wp:inline distT="0" distB="0" distL="0" distR="0" wp14:anchorId="5B0793BE" wp14:editId="4CBBB4FE">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32FC2" w:rsidRDefault="00C32FC2" w:rsidP="00C32FC2">
            <w:pPr>
              <w:keepNext/>
              <w:keepLines/>
              <w:ind w:right="-39" w:firstLine="567"/>
            </w:pPr>
          </w:p>
          <w:p w:rsidR="00C32FC2" w:rsidRPr="00C9042B" w:rsidRDefault="00C32FC2" w:rsidP="00C32FC2">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2FC2" w:rsidRPr="00B42D5B" w:rsidRDefault="00C32FC2" w:rsidP="00C32FC2">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663E5" w:rsidRPr="00D9342F" w:rsidRDefault="00C32FC2" w:rsidP="00D9342F">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40785B" w:rsidRPr="007663E5" w:rsidTr="0040785B">
        <w:tc>
          <w:tcPr>
            <w:tcW w:w="454" w:type="dxa"/>
            <w:vMerge w:val="restart"/>
          </w:tcPr>
          <w:p w:rsidR="0040785B" w:rsidRPr="007663E5" w:rsidRDefault="0040785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w:t>
            </w:r>
            <w:r w:rsidRPr="007663E5">
              <w:rPr>
                <w:rFonts w:eastAsiaTheme="minorHAnsi"/>
                <w:szCs w:val="22"/>
                <w:lang w:eastAsia="en-US"/>
              </w:rPr>
              <w:t>.</w:t>
            </w:r>
          </w:p>
        </w:tc>
        <w:tc>
          <w:tcPr>
            <w:tcW w:w="1925" w:type="dxa"/>
            <w:vMerge w:val="restart"/>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Квалификация участников закупки, в том числе наличие у них финансовых ресурсов, оборудования и других </w:t>
            </w:r>
            <w:r w:rsidRPr="007663E5">
              <w:rPr>
                <w:rFonts w:eastAsiaTheme="minorHAnsi"/>
                <w:szCs w:val="22"/>
                <w:lang w:eastAsia="en-US"/>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40785B" w:rsidRPr="007663E5" w:rsidRDefault="0040785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40</w:t>
            </w:r>
          </w:p>
        </w:tc>
        <w:tc>
          <w:tcPr>
            <w:tcW w:w="1882" w:type="dxa"/>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опыта работы, связанного с предметом контракта</w:t>
            </w:r>
          </w:p>
        </w:tc>
        <w:tc>
          <w:tcPr>
            <w:tcW w:w="850" w:type="dxa"/>
          </w:tcPr>
          <w:p w:rsidR="0040785B" w:rsidRPr="007663E5" w:rsidRDefault="0040785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p>
        </w:tc>
        <w:tc>
          <w:tcPr>
            <w:tcW w:w="2256" w:type="dxa"/>
          </w:tcPr>
          <w:p w:rsidR="0040785B" w:rsidRPr="007663E5" w:rsidRDefault="0040785B"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(общая цена исполненных участником закупки договоров)</w:t>
            </w:r>
          </w:p>
        </w:tc>
        <w:tc>
          <w:tcPr>
            <w:tcW w:w="1277" w:type="dxa"/>
          </w:tcPr>
          <w:p w:rsidR="0040785B" w:rsidRPr="007663E5" w:rsidRDefault="0040785B"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4252" w:type="dxa"/>
          </w:tcPr>
          <w:p w:rsidR="0040785B" w:rsidRDefault="0040785B" w:rsidP="0040785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r w:rsidR="008E633C">
              <w:rPr>
                <w:rFonts w:ascii="Times New Roman" w:hAnsi="Times New Roman"/>
                <w:sz w:val="24"/>
                <w:szCs w:val="24"/>
              </w:rPr>
              <w:t>.</w:t>
            </w:r>
          </w:p>
          <w:p w:rsidR="008E633C" w:rsidRPr="008E633C" w:rsidRDefault="008E633C" w:rsidP="008E633C">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w:t>
            </w:r>
            <w:r w:rsidRPr="00682D49">
              <w:rPr>
                <w:rFonts w:ascii="Times New Roman" w:hAnsi="Times New Roman"/>
                <w:sz w:val="24"/>
                <w:szCs w:val="24"/>
              </w:rPr>
              <w:lastRenderedPageBreak/>
              <w:t xml:space="preserve">на </w:t>
            </w:r>
            <w:r w:rsidRPr="00EA5B72">
              <w:rPr>
                <w:rFonts w:ascii="Times New Roman" w:hAnsi="Times New Roman"/>
                <w:sz w:val="24"/>
                <w:szCs w:val="24"/>
              </w:rPr>
              <w:t xml:space="preserve">выполнение работ по </w:t>
            </w:r>
            <w:r w:rsidR="00FD3D19">
              <w:rPr>
                <w:rFonts w:ascii="Times New Roman" w:eastAsia="Times New Roman" w:hAnsi="Times New Roman"/>
                <w:sz w:val="24"/>
                <w:szCs w:val="24"/>
                <w:lang w:eastAsia="ru-RU"/>
              </w:rPr>
              <w:t>обеспечению</w:t>
            </w:r>
            <w:r w:rsidRPr="00EA5B72">
              <w:rPr>
                <w:rFonts w:ascii="Times New Roman" w:hAnsi="Times New Roman"/>
                <w:sz w:val="24"/>
                <w:szCs w:val="24"/>
              </w:rPr>
              <w:t xml:space="preserve"> инвалид</w:t>
            </w:r>
            <w:r w:rsidR="00FD3D19">
              <w:rPr>
                <w:rFonts w:ascii="Times New Roman" w:hAnsi="Times New Roman"/>
                <w:sz w:val="24"/>
                <w:szCs w:val="24"/>
              </w:rPr>
              <w:t>ов</w:t>
            </w:r>
            <w:r>
              <w:rPr>
                <w:rFonts w:ascii="Times New Roman" w:hAnsi="Times New Roman"/>
                <w:sz w:val="24"/>
                <w:szCs w:val="24"/>
              </w:rPr>
              <w:t xml:space="preserve"> </w:t>
            </w:r>
            <w:r w:rsidRPr="00EA5B72">
              <w:rPr>
                <w:rFonts w:ascii="Times New Roman" w:hAnsi="Times New Roman"/>
                <w:sz w:val="24"/>
                <w:szCs w:val="24"/>
              </w:rPr>
              <w:t>протез</w:t>
            </w:r>
            <w:r w:rsidR="00FD3D19">
              <w:rPr>
                <w:rFonts w:ascii="Times New Roman" w:hAnsi="Times New Roman"/>
                <w:sz w:val="24"/>
                <w:szCs w:val="24"/>
              </w:rPr>
              <w:t>ами</w:t>
            </w:r>
            <w:r w:rsidRPr="00EA5B72">
              <w:rPr>
                <w:rFonts w:ascii="Times New Roman" w:hAnsi="Times New Roman"/>
                <w:sz w:val="24"/>
                <w:szCs w:val="24"/>
              </w:rPr>
              <w:t xml:space="preserve"> </w:t>
            </w:r>
            <w:r w:rsidR="00FD3D19">
              <w:rPr>
                <w:rFonts w:ascii="Times New Roman" w:hAnsi="Times New Roman"/>
                <w:sz w:val="24"/>
                <w:szCs w:val="24"/>
              </w:rPr>
              <w:t>верх</w:t>
            </w:r>
            <w:r w:rsidRPr="00EA5B72">
              <w:rPr>
                <w:rFonts w:ascii="Times New Roman" w:hAnsi="Times New Roman"/>
                <w:sz w:val="24"/>
                <w:szCs w:val="24"/>
              </w:rPr>
              <w:t>н</w:t>
            </w:r>
            <w:r>
              <w:rPr>
                <w:rFonts w:ascii="Times New Roman" w:hAnsi="Times New Roman"/>
                <w:sz w:val="24"/>
                <w:szCs w:val="24"/>
              </w:rPr>
              <w:t>их</w:t>
            </w:r>
            <w:r w:rsidRPr="00EA5B72">
              <w:rPr>
                <w:rFonts w:ascii="Times New Roman" w:hAnsi="Times New Roman"/>
                <w:sz w:val="24"/>
                <w:szCs w:val="24"/>
              </w:rPr>
              <w:t xml:space="preserve"> конечност</w:t>
            </w:r>
            <w:r>
              <w:rPr>
                <w:rFonts w:ascii="Times New Roman" w:hAnsi="Times New Roman"/>
                <w:sz w:val="24"/>
                <w:szCs w:val="24"/>
              </w:rPr>
              <w:t>ей (</w:t>
            </w:r>
            <w:r w:rsidRPr="00FD3D19">
              <w:rPr>
                <w:rFonts w:ascii="Times New Roman" w:hAnsi="Times New Roman"/>
                <w:sz w:val="24"/>
                <w:szCs w:val="24"/>
              </w:rPr>
              <w:t>протез</w:t>
            </w:r>
            <w:r w:rsidR="00FD3D19">
              <w:rPr>
                <w:rFonts w:ascii="Times New Roman" w:hAnsi="Times New Roman"/>
                <w:sz w:val="24"/>
                <w:szCs w:val="24"/>
              </w:rPr>
              <w:t>ами</w:t>
            </w:r>
            <w:r w:rsidRPr="00FD3D19">
              <w:rPr>
                <w:rFonts w:ascii="Times New Roman" w:hAnsi="Times New Roman"/>
                <w:sz w:val="24"/>
                <w:szCs w:val="24"/>
              </w:rPr>
              <w:t xml:space="preserve"> </w:t>
            </w:r>
            <w:r w:rsidR="00FD3D19" w:rsidRPr="00FD3D19">
              <w:rPr>
                <w:rFonts w:ascii="Times New Roman" w:hAnsi="Times New Roman"/>
                <w:sz w:val="24"/>
                <w:szCs w:val="24"/>
              </w:rPr>
              <w:t>кисти с микропроцессорным управлением, в том числе при вычленении и частичном вычленении кисти</w:t>
            </w:r>
            <w:r>
              <w:rPr>
                <w:rFonts w:ascii="Times New Roman" w:hAnsi="Times New Roman"/>
                <w:sz w:val="24"/>
                <w:szCs w:val="24"/>
              </w:rPr>
              <w:t xml:space="preserve">). </w:t>
            </w:r>
          </w:p>
          <w:p w:rsidR="0040785B" w:rsidRDefault="0040785B" w:rsidP="0040785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00EA5B72" w:rsidRPr="00EA5B72">
              <w:rPr>
                <w:rFonts w:ascii="Times New Roman" w:hAnsi="Times New Roman"/>
                <w:sz w:val="24"/>
                <w:szCs w:val="24"/>
              </w:rPr>
              <w:t xml:space="preserve">выполнение работ по </w:t>
            </w:r>
            <w:r w:rsidR="00984804">
              <w:rPr>
                <w:rFonts w:ascii="Times New Roman" w:eastAsia="Times New Roman" w:hAnsi="Times New Roman"/>
                <w:sz w:val="24"/>
                <w:szCs w:val="24"/>
                <w:lang w:eastAsia="ru-RU"/>
              </w:rPr>
              <w:t>обеспечению</w:t>
            </w:r>
            <w:r w:rsidR="00EA5B72" w:rsidRPr="00EA5B72">
              <w:rPr>
                <w:rFonts w:ascii="Times New Roman" w:hAnsi="Times New Roman"/>
                <w:sz w:val="24"/>
                <w:szCs w:val="24"/>
              </w:rPr>
              <w:t xml:space="preserve"> инвалид</w:t>
            </w:r>
            <w:r w:rsidR="00984804">
              <w:rPr>
                <w:rFonts w:ascii="Times New Roman" w:hAnsi="Times New Roman"/>
                <w:sz w:val="24"/>
                <w:szCs w:val="24"/>
              </w:rPr>
              <w:t>ов</w:t>
            </w:r>
            <w:r w:rsidR="008E633C">
              <w:rPr>
                <w:rFonts w:ascii="Times New Roman" w:hAnsi="Times New Roman"/>
                <w:sz w:val="24"/>
                <w:szCs w:val="24"/>
              </w:rPr>
              <w:t xml:space="preserve"> </w:t>
            </w:r>
            <w:r w:rsidR="00EA5B72" w:rsidRPr="00EA5B72">
              <w:rPr>
                <w:rFonts w:ascii="Times New Roman" w:hAnsi="Times New Roman"/>
                <w:sz w:val="24"/>
                <w:szCs w:val="24"/>
              </w:rPr>
              <w:t>протез</w:t>
            </w:r>
            <w:r w:rsidR="00984804">
              <w:rPr>
                <w:rFonts w:ascii="Times New Roman" w:hAnsi="Times New Roman"/>
                <w:sz w:val="24"/>
                <w:szCs w:val="24"/>
              </w:rPr>
              <w:t>ами</w:t>
            </w:r>
            <w:r w:rsidR="00EA5B72" w:rsidRPr="00EA5B72">
              <w:rPr>
                <w:rFonts w:ascii="Times New Roman" w:hAnsi="Times New Roman"/>
                <w:sz w:val="24"/>
                <w:szCs w:val="24"/>
              </w:rPr>
              <w:t xml:space="preserve"> </w:t>
            </w:r>
            <w:r w:rsidR="00FD3D19">
              <w:rPr>
                <w:rFonts w:ascii="Times New Roman" w:hAnsi="Times New Roman"/>
                <w:sz w:val="24"/>
                <w:szCs w:val="24"/>
              </w:rPr>
              <w:t>верх</w:t>
            </w:r>
            <w:r w:rsidR="00FD3D19" w:rsidRPr="00EA5B72">
              <w:rPr>
                <w:rFonts w:ascii="Times New Roman" w:hAnsi="Times New Roman"/>
                <w:sz w:val="24"/>
                <w:szCs w:val="24"/>
              </w:rPr>
              <w:t>н</w:t>
            </w:r>
            <w:r w:rsidR="00FD3D19">
              <w:rPr>
                <w:rFonts w:ascii="Times New Roman" w:hAnsi="Times New Roman"/>
                <w:sz w:val="24"/>
                <w:szCs w:val="24"/>
              </w:rPr>
              <w:t>их</w:t>
            </w:r>
            <w:r w:rsidR="00EA5B72" w:rsidRPr="00EA5B72">
              <w:rPr>
                <w:rFonts w:ascii="Times New Roman" w:hAnsi="Times New Roman"/>
                <w:sz w:val="24"/>
                <w:szCs w:val="24"/>
              </w:rPr>
              <w:t xml:space="preserve"> конечност</w:t>
            </w:r>
            <w:r w:rsidR="00EA5B72">
              <w:rPr>
                <w:rFonts w:ascii="Times New Roman" w:hAnsi="Times New Roman"/>
                <w:sz w:val="24"/>
                <w:szCs w:val="24"/>
              </w:rPr>
              <w:t>ей</w:t>
            </w:r>
            <w:r w:rsidR="00EA5B72" w:rsidRPr="00682D49">
              <w:rPr>
                <w:rFonts w:ascii="Times New Roman" w:hAnsi="Times New Roman"/>
                <w:sz w:val="24"/>
                <w:szCs w:val="24"/>
              </w:rPr>
              <w:t xml:space="preserve"> </w:t>
            </w:r>
            <w:r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40785B" w:rsidRPr="00682D49" w:rsidRDefault="0040785B" w:rsidP="0040785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40785B" w:rsidRDefault="0040785B" w:rsidP="0040785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40785B" w:rsidRPr="00CC0DFD" w:rsidRDefault="0040785B" w:rsidP="0040785B">
            <w:pPr>
              <w:pStyle w:val="a7"/>
              <w:rPr>
                <w:rFonts w:ascii="Times New Roman" w:hAnsi="Times New Roman"/>
                <w:sz w:val="24"/>
                <w:szCs w:val="24"/>
              </w:rPr>
            </w:pPr>
            <w:r w:rsidRPr="004D290F">
              <w:rPr>
                <w:rFonts w:ascii="Times New Roman" w:hAnsi="Times New Roman"/>
                <w:sz w:val="24"/>
                <w:szCs w:val="24"/>
              </w:rPr>
              <w:t xml:space="preserve">Участник закупки предоставляет документы в полном объеме и со всеми </w:t>
            </w:r>
            <w:r w:rsidRPr="004D290F">
              <w:rPr>
                <w:rFonts w:ascii="Times New Roman" w:hAnsi="Times New Roman"/>
                <w:sz w:val="24"/>
                <w:szCs w:val="24"/>
              </w:rPr>
              <w:lastRenderedPageBreak/>
              <w:t>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40785B" w:rsidRPr="00CC0DFD" w:rsidRDefault="0040785B" w:rsidP="0040785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40785B" w:rsidRPr="00CC0DFD" w:rsidRDefault="008E633C" w:rsidP="0040785B">
            <w:pPr>
              <w:ind w:right="-39" w:firstLine="567"/>
            </w:pPr>
            <w:r>
              <w:rPr>
                <w:rFonts w:eastAsiaTheme="minorHAnsi"/>
                <w:noProof/>
                <w:position w:val="-28"/>
                <w:sz w:val="24"/>
                <w:szCs w:val="24"/>
                <w:lang w:eastAsia="ru-RU"/>
              </w:rPr>
              <w:drawing>
                <wp:inline distT="0" distB="0" distL="0" distR="0">
                  <wp:extent cx="236220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40785B" w:rsidRDefault="0040785B" w:rsidP="0040785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D51F77" w:rsidRDefault="00D51F77" w:rsidP="00D51F77">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0B17EC42" wp14:editId="2FCF5FE4">
                  <wp:extent cx="40957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 предельное минимальное значение характеристики, установленное заказчиком. Минимальн</w:t>
            </w:r>
            <w:r w:rsidR="006D1A84">
              <w:rPr>
                <w:rFonts w:eastAsiaTheme="minorHAnsi"/>
                <w:sz w:val="24"/>
                <w:szCs w:val="24"/>
                <w:lang w:eastAsia="en-US"/>
              </w:rPr>
              <w:t xml:space="preserve">ая </w:t>
            </w:r>
            <w:r w:rsidR="006D1A84" w:rsidRPr="007663E5">
              <w:rPr>
                <w:rFonts w:eastAsiaTheme="minorHAnsi"/>
                <w:szCs w:val="22"/>
                <w:lang w:eastAsia="en-US"/>
              </w:rPr>
              <w:t>общая</w:t>
            </w:r>
            <w:r>
              <w:rPr>
                <w:rFonts w:eastAsiaTheme="minorHAnsi"/>
                <w:sz w:val="24"/>
                <w:szCs w:val="24"/>
                <w:lang w:eastAsia="en-US"/>
              </w:rPr>
              <w:t xml:space="preserve"> </w:t>
            </w:r>
            <w:r w:rsidR="006D1A84" w:rsidRPr="007663E5">
              <w:rPr>
                <w:rFonts w:eastAsiaTheme="minorHAnsi"/>
                <w:szCs w:val="22"/>
                <w:lang w:eastAsia="en-US"/>
              </w:rPr>
              <w:t xml:space="preserve">цена </w:t>
            </w:r>
            <w:r>
              <w:rPr>
                <w:rFonts w:eastAsiaTheme="minorHAnsi"/>
                <w:sz w:val="24"/>
                <w:szCs w:val="24"/>
                <w:lang w:eastAsia="en-US"/>
              </w:rPr>
              <w:t xml:space="preserve">принимаемых для оценки </w:t>
            </w:r>
            <w:r w:rsidR="006D1A84">
              <w:rPr>
                <w:rFonts w:eastAsiaTheme="minorHAnsi"/>
                <w:sz w:val="24"/>
                <w:szCs w:val="24"/>
                <w:lang w:eastAsia="en-US"/>
              </w:rPr>
              <w:t>договоров</w:t>
            </w:r>
            <w:r>
              <w:rPr>
                <w:rFonts w:eastAsiaTheme="minorHAnsi"/>
                <w:sz w:val="24"/>
                <w:szCs w:val="24"/>
                <w:lang w:eastAsia="en-US"/>
              </w:rPr>
              <w:t>: 1</w:t>
            </w:r>
            <w:r w:rsidR="00FD3D19">
              <w:rPr>
                <w:rFonts w:eastAsiaTheme="minorHAnsi"/>
                <w:sz w:val="24"/>
                <w:szCs w:val="24"/>
                <w:lang w:eastAsia="en-US"/>
              </w:rPr>
              <w:t> 252 738,21</w:t>
            </w:r>
            <w:r w:rsidR="006D1A84">
              <w:rPr>
                <w:rFonts w:eastAsiaTheme="minorHAnsi"/>
                <w:sz w:val="24"/>
                <w:szCs w:val="24"/>
                <w:lang w:eastAsia="en-US"/>
              </w:rPr>
              <w:t xml:space="preserve"> рублей</w:t>
            </w:r>
            <w:r>
              <w:rPr>
                <w:rFonts w:eastAsiaTheme="minorHAnsi"/>
                <w:sz w:val="24"/>
                <w:szCs w:val="24"/>
                <w:lang w:eastAsia="en-US"/>
              </w:rPr>
              <w:t>.</w:t>
            </w:r>
          </w:p>
          <w:p w:rsidR="0040785B" w:rsidRPr="00D51F77" w:rsidRDefault="00811F8C" w:rsidP="00811F8C">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0040785B" w:rsidRPr="00CC0DFD">
              <w:rPr>
                <w:sz w:val="24"/>
                <w:szCs w:val="24"/>
              </w:rPr>
              <w:t xml:space="preserve"> </w:t>
            </w:r>
            <w:r>
              <w:rPr>
                <w:sz w:val="24"/>
                <w:szCs w:val="24"/>
              </w:rPr>
              <w:t>–</w:t>
            </w:r>
            <w:r w:rsidR="0040785B" w:rsidRPr="00CC0DFD">
              <w:rPr>
                <w:sz w:val="24"/>
                <w:szCs w:val="24"/>
              </w:rPr>
              <w:t xml:space="preserve"> </w:t>
            </w:r>
            <w:r>
              <w:rPr>
                <w:rFonts w:eastAsiaTheme="minorHAnsi"/>
                <w:sz w:val="24"/>
                <w:szCs w:val="24"/>
                <w:lang w:eastAsia="en-US"/>
              </w:rPr>
              <w:t>предельное максимальное значение характеристики, установленное заказчиком</w:t>
            </w:r>
            <w:r w:rsidR="00D51F77">
              <w:rPr>
                <w:rFonts w:eastAsiaTheme="minorHAnsi"/>
                <w:sz w:val="24"/>
                <w:szCs w:val="24"/>
                <w:lang w:eastAsia="en-US"/>
              </w:rPr>
              <w:t>.  М</w:t>
            </w:r>
            <w:r w:rsidR="006D1A84">
              <w:rPr>
                <w:rFonts w:eastAsiaTheme="minorHAnsi"/>
                <w:sz w:val="24"/>
                <w:szCs w:val="24"/>
                <w:lang w:eastAsia="en-US"/>
              </w:rPr>
              <w:t>акс</w:t>
            </w:r>
            <w:r w:rsidR="00D51F77">
              <w:rPr>
                <w:rFonts w:eastAsiaTheme="minorHAnsi"/>
                <w:sz w:val="24"/>
                <w:szCs w:val="24"/>
                <w:lang w:eastAsia="en-US"/>
              </w:rPr>
              <w:t>имальн</w:t>
            </w:r>
            <w:r w:rsidR="006D1A84">
              <w:rPr>
                <w:rFonts w:eastAsiaTheme="minorHAnsi"/>
                <w:sz w:val="24"/>
                <w:szCs w:val="24"/>
                <w:lang w:eastAsia="en-US"/>
              </w:rPr>
              <w:t>ая</w:t>
            </w:r>
            <w:r w:rsidR="00D51F77">
              <w:rPr>
                <w:rFonts w:eastAsiaTheme="minorHAnsi"/>
                <w:sz w:val="24"/>
                <w:szCs w:val="24"/>
                <w:lang w:eastAsia="en-US"/>
              </w:rPr>
              <w:t xml:space="preserve"> </w:t>
            </w:r>
            <w:r w:rsidR="006D1A84" w:rsidRPr="007663E5">
              <w:rPr>
                <w:rFonts w:eastAsiaTheme="minorHAnsi"/>
                <w:szCs w:val="22"/>
                <w:lang w:eastAsia="en-US"/>
              </w:rPr>
              <w:t>общая</w:t>
            </w:r>
            <w:r w:rsidR="006D1A84">
              <w:rPr>
                <w:rFonts w:eastAsiaTheme="minorHAnsi"/>
                <w:sz w:val="24"/>
                <w:szCs w:val="24"/>
                <w:lang w:eastAsia="en-US"/>
              </w:rPr>
              <w:t xml:space="preserve"> </w:t>
            </w:r>
            <w:r w:rsidR="006D1A84" w:rsidRPr="007663E5">
              <w:rPr>
                <w:rFonts w:eastAsiaTheme="minorHAnsi"/>
                <w:szCs w:val="22"/>
                <w:lang w:eastAsia="en-US"/>
              </w:rPr>
              <w:t xml:space="preserve">цена </w:t>
            </w:r>
            <w:r w:rsidR="006D1A84">
              <w:rPr>
                <w:rFonts w:eastAsiaTheme="minorHAnsi"/>
                <w:sz w:val="24"/>
                <w:szCs w:val="24"/>
                <w:lang w:eastAsia="en-US"/>
              </w:rPr>
              <w:t>принимаемых для оценки договоров</w:t>
            </w:r>
            <w:r w:rsidR="00D51F77">
              <w:rPr>
                <w:rFonts w:eastAsiaTheme="minorHAnsi"/>
                <w:sz w:val="24"/>
                <w:szCs w:val="24"/>
                <w:lang w:eastAsia="en-US"/>
              </w:rPr>
              <w:t xml:space="preserve">: </w:t>
            </w:r>
            <w:r w:rsidR="006D1A84">
              <w:rPr>
                <w:rFonts w:eastAsiaTheme="minorHAnsi"/>
                <w:sz w:val="24"/>
                <w:szCs w:val="24"/>
                <w:lang w:eastAsia="en-US"/>
              </w:rPr>
              <w:t>6</w:t>
            </w:r>
            <w:r w:rsidR="00FD3D19">
              <w:rPr>
                <w:rFonts w:eastAsiaTheme="minorHAnsi"/>
                <w:sz w:val="24"/>
                <w:szCs w:val="24"/>
                <w:lang w:eastAsia="en-US"/>
              </w:rPr>
              <w:t> 263 691,05</w:t>
            </w:r>
            <w:r w:rsidR="00D94D1C">
              <w:rPr>
                <w:rFonts w:eastAsiaTheme="minorHAnsi"/>
                <w:sz w:val="24"/>
                <w:szCs w:val="24"/>
                <w:lang w:eastAsia="en-US"/>
              </w:rPr>
              <w:t xml:space="preserve"> рублей</w:t>
            </w:r>
            <w:r w:rsidR="00D51F77">
              <w:rPr>
                <w:rFonts w:eastAsiaTheme="minorHAnsi"/>
                <w:sz w:val="24"/>
                <w:szCs w:val="24"/>
                <w:lang w:eastAsia="en-US"/>
              </w:rPr>
              <w:t>.</w:t>
            </w:r>
          </w:p>
          <w:p w:rsidR="0040785B" w:rsidRPr="00CC0DFD" w:rsidRDefault="0040785B" w:rsidP="00D51F77">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w:t>
            </w:r>
            <w:r w:rsidRPr="00B42D5B">
              <w:rPr>
                <w:sz w:val="24"/>
                <w:szCs w:val="24"/>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0785B" w:rsidRPr="00D51F77" w:rsidRDefault="0040785B" w:rsidP="00D51F77">
            <w:pPr>
              <w:widowControl/>
              <w:tabs>
                <w:tab w:val="clear" w:pos="552"/>
              </w:tabs>
              <w:suppressAutoHyphens w:val="0"/>
              <w:autoSpaceDE w:val="0"/>
              <w:autoSpaceDN w:val="0"/>
              <w:adjustRightInd w:val="0"/>
              <w:spacing w:line="240" w:lineRule="auto"/>
              <w:jc w:val="both"/>
              <w:rPr>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CB1F26" w:rsidRPr="007663E5" w:rsidTr="0040785B">
        <w:tc>
          <w:tcPr>
            <w:tcW w:w="454"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CB1F26" w:rsidRPr="007663E5" w:rsidRDefault="00CB1F26"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CB1F26" w:rsidRDefault="00CB1F26"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CB1F26" w:rsidRPr="007663E5" w:rsidRDefault="0040785B"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5A751D">
              <w:rPr>
                <w:rFonts w:eastAsiaTheme="minorHAnsi"/>
                <w:szCs w:val="22"/>
                <w:lang w:eastAsia="en-US"/>
              </w:rPr>
              <w:t>признак N 2 (общее количество исполненных участником закупки договоров)</w:t>
            </w:r>
          </w:p>
        </w:tc>
        <w:tc>
          <w:tcPr>
            <w:tcW w:w="1277" w:type="dxa"/>
          </w:tcPr>
          <w:p w:rsidR="00CB1F26" w:rsidRPr="007663E5" w:rsidRDefault="0040785B"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w:t>
            </w:r>
            <w:r w:rsidR="00CB1F26">
              <w:rPr>
                <w:rFonts w:eastAsiaTheme="minorHAnsi"/>
                <w:szCs w:val="22"/>
                <w:lang w:eastAsia="en-US"/>
              </w:rPr>
              <w:t>0</w:t>
            </w:r>
          </w:p>
        </w:tc>
        <w:tc>
          <w:tcPr>
            <w:tcW w:w="4252" w:type="dxa"/>
          </w:tcPr>
          <w:p w:rsidR="004E5B7B" w:rsidRDefault="004E5B7B" w:rsidP="004E5B7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5A751D">
              <w:rPr>
                <w:rFonts w:ascii="Times New Roman" w:eastAsiaTheme="minorHAnsi" w:hAnsi="Times New Roman"/>
              </w:rPr>
              <w:t>общее количество</w:t>
            </w:r>
            <w:r w:rsidRPr="00752E9D">
              <w:rPr>
                <w:rFonts w:ascii="Times New Roman" w:hAnsi="Times New Roman"/>
                <w:sz w:val="24"/>
                <w:szCs w:val="24"/>
              </w:rPr>
              <w:t xml:space="preserve"> исполненных участником закупки договоров</w:t>
            </w:r>
            <w:r>
              <w:rPr>
                <w:rFonts w:ascii="Times New Roman" w:hAnsi="Times New Roman"/>
                <w:sz w:val="24"/>
                <w:szCs w:val="24"/>
              </w:rPr>
              <w:t>.</w:t>
            </w:r>
          </w:p>
          <w:p w:rsidR="004E5B7B" w:rsidRPr="008E633C" w:rsidRDefault="004E5B7B" w:rsidP="004E5B7B">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на </w:t>
            </w:r>
            <w:r w:rsidR="008F3B1E" w:rsidRPr="00EA5B72">
              <w:rPr>
                <w:rFonts w:ascii="Times New Roman" w:hAnsi="Times New Roman"/>
                <w:sz w:val="24"/>
                <w:szCs w:val="24"/>
              </w:rPr>
              <w:t xml:space="preserve">выполнение работ по </w:t>
            </w:r>
            <w:r w:rsidR="008F3B1E">
              <w:rPr>
                <w:rFonts w:ascii="Times New Roman" w:eastAsia="Times New Roman" w:hAnsi="Times New Roman"/>
                <w:sz w:val="24"/>
                <w:szCs w:val="24"/>
                <w:lang w:eastAsia="ru-RU"/>
              </w:rPr>
              <w:t>обеспечению</w:t>
            </w:r>
            <w:r w:rsidR="008F3B1E" w:rsidRPr="00EA5B72">
              <w:rPr>
                <w:rFonts w:ascii="Times New Roman" w:hAnsi="Times New Roman"/>
                <w:sz w:val="24"/>
                <w:szCs w:val="24"/>
              </w:rPr>
              <w:t xml:space="preserve"> инвалид</w:t>
            </w:r>
            <w:r w:rsidR="008F3B1E">
              <w:rPr>
                <w:rFonts w:ascii="Times New Roman" w:hAnsi="Times New Roman"/>
                <w:sz w:val="24"/>
                <w:szCs w:val="24"/>
              </w:rPr>
              <w:t xml:space="preserve">ов </w:t>
            </w:r>
            <w:r w:rsidR="008F3B1E" w:rsidRPr="00EA5B72">
              <w:rPr>
                <w:rFonts w:ascii="Times New Roman" w:hAnsi="Times New Roman"/>
                <w:sz w:val="24"/>
                <w:szCs w:val="24"/>
              </w:rPr>
              <w:t>протез</w:t>
            </w:r>
            <w:r w:rsidR="008F3B1E">
              <w:rPr>
                <w:rFonts w:ascii="Times New Roman" w:hAnsi="Times New Roman"/>
                <w:sz w:val="24"/>
                <w:szCs w:val="24"/>
              </w:rPr>
              <w:t>ами</w:t>
            </w:r>
            <w:r w:rsidR="008F3B1E" w:rsidRPr="00EA5B72">
              <w:rPr>
                <w:rFonts w:ascii="Times New Roman" w:hAnsi="Times New Roman"/>
                <w:sz w:val="24"/>
                <w:szCs w:val="24"/>
              </w:rPr>
              <w:t xml:space="preserve"> </w:t>
            </w:r>
            <w:r w:rsidR="008F3B1E">
              <w:rPr>
                <w:rFonts w:ascii="Times New Roman" w:hAnsi="Times New Roman"/>
                <w:sz w:val="24"/>
                <w:szCs w:val="24"/>
              </w:rPr>
              <w:t>верх</w:t>
            </w:r>
            <w:r w:rsidR="008F3B1E" w:rsidRPr="00EA5B72">
              <w:rPr>
                <w:rFonts w:ascii="Times New Roman" w:hAnsi="Times New Roman"/>
                <w:sz w:val="24"/>
                <w:szCs w:val="24"/>
              </w:rPr>
              <w:t>н</w:t>
            </w:r>
            <w:r w:rsidR="008F3B1E">
              <w:rPr>
                <w:rFonts w:ascii="Times New Roman" w:hAnsi="Times New Roman"/>
                <w:sz w:val="24"/>
                <w:szCs w:val="24"/>
              </w:rPr>
              <w:t>их</w:t>
            </w:r>
            <w:r w:rsidR="008F3B1E" w:rsidRPr="00EA5B72">
              <w:rPr>
                <w:rFonts w:ascii="Times New Roman" w:hAnsi="Times New Roman"/>
                <w:sz w:val="24"/>
                <w:szCs w:val="24"/>
              </w:rPr>
              <w:t xml:space="preserve"> конечност</w:t>
            </w:r>
            <w:r w:rsidR="008F3B1E">
              <w:rPr>
                <w:rFonts w:ascii="Times New Roman" w:hAnsi="Times New Roman"/>
                <w:sz w:val="24"/>
                <w:szCs w:val="24"/>
              </w:rPr>
              <w:t>ей (</w:t>
            </w:r>
            <w:r w:rsidR="008F3B1E" w:rsidRPr="00FD3D19">
              <w:rPr>
                <w:rFonts w:ascii="Times New Roman" w:hAnsi="Times New Roman"/>
                <w:sz w:val="24"/>
                <w:szCs w:val="24"/>
              </w:rPr>
              <w:t>протез</w:t>
            </w:r>
            <w:r w:rsidR="008F3B1E">
              <w:rPr>
                <w:rFonts w:ascii="Times New Roman" w:hAnsi="Times New Roman"/>
                <w:sz w:val="24"/>
                <w:szCs w:val="24"/>
              </w:rPr>
              <w:t>ами</w:t>
            </w:r>
            <w:r w:rsidR="008F3B1E" w:rsidRPr="00FD3D19">
              <w:rPr>
                <w:rFonts w:ascii="Times New Roman" w:hAnsi="Times New Roman"/>
                <w:sz w:val="24"/>
                <w:szCs w:val="24"/>
              </w:rPr>
              <w:t xml:space="preserve"> кисти с микропроцессорным управлением, в том числе при вычленении и частичном вычленении кисти</w:t>
            </w:r>
            <w:r w:rsidR="008F3B1E">
              <w:rPr>
                <w:rFonts w:ascii="Times New Roman" w:hAnsi="Times New Roman"/>
                <w:sz w:val="24"/>
                <w:szCs w:val="24"/>
              </w:rPr>
              <w:t>)</w:t>
            </w:r>
            <w:r>
              <w:rPr>
                <w:rFonts w:ascii="Times New Roman" w:hAnsi="Times New Roman"/>
                <w:sz w:val="24"/>
                <w:szCs w:val="24"/>
              </w:rPr>
              <w:t xml:space="preserve">. </w:t>
            </w:r>
          </w:p>
          <w:p w:rsidR="004E5B7B" w:rsidRDefault="004E5B7B" w:rsidP="004E5B7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008F3B1E" w:rsidRPr="00EA5B72">
              <w:rPr>
                <w:rFonts w:ascii="Times New Roman" w:hAnsi="Times New Roman"/>
                <w:sz w:val="24"/>
                <w:szCs w:val="24"/>
              </w:rPr>
              <w:t xml:space="preserve">выполнение работ по </w:t>
            </w:r>
            <w:r w:rsidR="008F3B1E">
              <w:rPr>
                <w:rFonts w:ascii="Times New Roman" w:eastAsia="Times New Roman" w:hAnsi="Times New Roman"/>
                <w:sz w:val="24"/>
                <w:szCs w:val="24"/>
                <w:lang w:eastAsia="ru-RU"/>
              </w:rPr>
              <w:t>обеспечению</w:t>
            </w:r>
            <w:r w:rsidR="008F3B1E" w:rsidRPr="00EA5B72">
              <w:rPr>
                <w:rFonts w:ascii="Times New Roman" w:hAnsi="Times New Roman"/>
                <w:sz w:val="24"/>
                <w:szCs w:val="24"/>
              </w:rPr>
              <w:t xml:space="preserve"> </w:t>
            </w:r>
            <w:r w:rsidR="008F3B1E" w:rsidRPr="00EA5B72">
              <w:rPr>
                <w:rFonts w:ascii="Times New Roman" w:hAnsi="Times New Roman"/>
                <w:sz w:val="24"/>
                <w:szCs w:val="24"/>
              </w:rPr>
              <w:lastRenderedPageBreak/>
              <w:t>инвалид</w:t>
            </w:r>
            <w:r w:rsidR="008F3B1E">
              <w:rPr>
                <w:rFonts w:ascii="Times New Roman" w:hAnsi="Times New Roman"/>
                <w:sz w:val="24"/>
                <w:szCs w:val="24"/>
              </w:rPr>
              <w:t xml:space="preserve">ов </w:t>
            </w:r>
            <w:r w:rsidR="008F3B1E" w:rsidRPr="00EA5B72">
              <w:rPr>
                <w:rFonts w:ascii="Times New Roman" w:hAnsi="Times New Roman"/>
                <w:sz w:val="24"/>
                <w:szCs w:val="24"/>
              </w:rPr>
              <w:t>протез</w:t>
            </w:r>
            <w:r w:rsidR="008F3B1E">
              <w:rPr>
                <w:rFonts w:ascii="Times New Roman" w:hAnsi="Times New Roman"/>
                <w:sz w:val="24"/>
                <w:szCs w:val="24"/>
              </w:rPr>
              <w:t>ами</w:t>
            </w:r>
            <w:r w:rsidR="008F3B1E" w:rsidRPr="00EA5B72">
              <w:rPr>
                <w:rFonts w:ascii="Times New Roman" w:hAnsi="Times New Roman"/>
                <w:sz w:val="24"/>
                <w:szCs w:val="24"/>
              </w:rPr>
              <w:t xml:space="preserve"> </w:t>
            </w:r>
            <w:r w:rsidR="008F3B1E">
              <w:rPr>
                <w:rFonts w:ascii="Times New Roman" w:hAnsi="Times New Roman"/>
                <w:sz w:val="24"/>
                <w:szCs w:val="24"/>
              </w:rPr>
              <w:t>верх</w:t>
            </w:r>
            <w:r w:rsidR="008F3B1E" w:rsidRPr="00EA5B72">
              <w:rPr>
                <w:rFonts w:ascii="Times New Roman" w:hAnsi="Times New Roman"/>
                <w:sz w:val="24"/>
                <w:szCs w:val="24"/>
              </w:rPr>
              <w:t>н</w:t>
            </w:r>
            <w:r w:rsidR="008F3B1E">
              <w:rPr>
                <w:rFonts w:ascii="Times New Roman" w:hAnsi="Times New Roman"/>
                <w:sz w:val="24"/>
                <w:szCs w:val="24"/>
              </w:rPr>
              <w:t>их</w:t>
            </w:r>
            <w:r w:rsidR="008F3B1E" w:rsidRPr="00EA5B72">
              <w:rPr>
                <w:rFonts w:ascii="Times New Roman" w:hAnsi="Times New Roman"/>
                <w:sz w:val="24"/>
                <w:szCs w:val="24"/>
              </w:rPr>
              <w:t xml:space="preserve"> конечност</w:t>
            </w:r>
            <w:r w:rsidR="008F3B1E">
              <w:rPr>
                <w:rFonts w:ascii="Times New Roman" w:hAnsi="Times New Roman"/>
                <w:sz w:val="24"/>
                <w:szCs w:val="24"/>
              </w:rPr>
              <w:t>ей</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4E5B7B" w:rsidRPr="00682D49" w:rsidRDefault="004E5B7B" w:rsidP="004E5B7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4E5B7B" w:rsidRDefault="004E5B7B" w:rsidP="004E5B7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4E5B7B" w:rsidRPr="00CC0DFD" w:rsidRDefault="004E5B7B" w:rsidP="004E5B7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4E5B7B" w:rsidRPr="00CC0DFD" w:rsidRDefault="004E5B7B" w:rsidP="004E5B7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4E5B7B" w:rsidRPr="00CC0DFD" w:rsidRDefault="004E5B7B" w:rsidP="004E5B7B">
            <w:pPr>
              <w:ind w:right="-39" w:firstLine="567"/>
            </w:pPr>
            <w:r>
              <w:rPr>
                <w:rFonts w:eastAsiaTheme="minorHAnsi"/>
                <w:noProof/>
                <w:position w:val="-28"/>
                <w:sz w:val="24"/>
                <w:szCs w:val="24"/>
                <w:lang w:eastAsia="ru-RU"/>
              </w:rPr>
              <w:drawing>
                <wp:inline distT="0" distB="0" distL="0" distR="0" wp14:anchorId="46CB532D" wp14:editId="0142BEE4">
                  <wp:extent cx="2362200" cy="514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4E5B7B" w:rsidRDefault="004E5B7B" w:rsidP="004E5B7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lastRenderedPageBreak/>
              <w:t>где:</w:t>
            </w:r>
          </w:p>
          <w:p w:rsidR="004E5B7B" w:rsidRDefault="004E5B7B"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78A1E6A0" wp14:editId="761971FF">
                  <wp:extent cx="4095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 предельное минимальное значение характеристики, установленное заказчиком. Минимальн</w:t>
            </w:r>
            <w:r w:rsidR="00D94D1C">
              <w:rPr>
                <w:rFonts w:eastAsiaTheme="minorHAnsi"/>
                <w:sz w:val="24"/>
                <w:szCs w:val="24"/>
                <w:lang w:eastAsia="en-US"/>
              </w:rPr>
              <w:t>ое</w:t>
            </w:r>
            <w:r>
              <w:rPr>
                <w:rFonts w:eastAsiaTheme="minorHAnsi"/>
                <w:sz w:val="24"/>
                <w:szCs w:val="24"/>
                <w:lang w:eastAsia="en-US"/>
              </w:rPr>
              <w:t xml:space="preserve"> </w:t>
            </w:r>
            <w:r w:rsidRPr="007663E5">
              <w:rPr>
                <w:rFonts w:eastAsiaTheme="minorHAnsi"/>
                <w:szCs w:val="22"/>
                <w:lang w:eastAsia="en-US"/>
              </w:rPr>
              <w:t>общ</w:t>
            </w:r>
            <w:r w:rsidR="00D94D1C">
              <w:rPr>
                <w:rFonts w:eastAsiaTheme="minorHAnsi"/>
                <w:szCs w:val="22"/>
                <w:lang w:eastAsia="en-US"/>
              </w:rPr>
              <w:t>ее</w:t>
            </w:r>
            <w:r>
              <w:rPr>
                <w:rFonts w:eastAsiaTheme="minorHAnsi"/>
                <w:sz w:val="24"/>
                <w:szCs w:val="24"/>
                <w:lang w:eastAsia="en-US"/>
              </w:rPr>
              <w:t xml:space="preserve"> </w:t>
            </w:r>
            <w:r w:rsidR="00D94D1C">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 xml:space="preserve">принимаемых для оценки договоров: </w:t>
            </w:r>
            <w:r w:rsidR="00D94D1C">
              <w:rPr>
                <w:rFonts w:eastAsiaTheme="minorHAnsi"/>
                <w:sz w:val="24"/>
                <w:szCs w:val="24"/>
                <w:lang w:eastAsia="en-US"/>
              </w:rPr>
              <w:t>1</w:t>
            </w:r>
            <w:r>
              <w:rPr>
                <w:rFonts w:eastAsiaTheme="minorHAnsi"/>
                <w:sz w:val="24"/>
                <w:szCs w:val="24"/>
                <w:lang w:eastAsia="en-US"/>
              </w:rPr>
              <w:t>.</w:t>
            </w:r>
          </w:p>
          <w:p w:rsidR="004E5B7B" w:rsidRPr="00D51F77" w:rsidRDefault="004E5B7B"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49374257" wp14:editId="67F8E370">
                  <wp:extent cx="4095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Pr="00CC0DFD">
              <w:rPr>
                <w:sz w:val="24"/>
                <w:szCs w:val="24"/>
              </w:rPr>
              <w:t xml:space="preserve"> </w:t>
            </w:r>
            <w:r>
              <w:rPr>
                <w:sz w:val="24"/>
                <w:szCs w:val="24"/>
              </w:rPr>
              <w:t>–</w:t>
            </w:r>
            <w:r w:rsidRPr="00CC0DFD">
              <w:rPr>
                <w:sz w:val="24"/>
                <w:szCs w:val="24"/>
              </w:rPr>
              <w:t xml:space="preserve"> </w:t>
            </w:r>
            <w:r>
              <w:rPr>
                <w:rFonts w:eastAsiaTheme="minorHAnsi"/>
                <w:sz w:val="24"/>
                <w:szCs w:val="24"/>
                <w:lang w:eastAsia="en-US"/>
              </w:rPr>
              <w:t>предельное максимальное значение характеристики, установленное заказчиком.  Максимальн</w:t>
            </w:r>
            <w:r w:rsidR="00D94D1C">
              <w:rPr>
                <w:rFonts w:eastAsiaTheme="minorHAnsi"/>
                <w:sz w:val="24"/>
                <w:szCs w:val="24"/>
                <w:lang w:eastAsia="en-US"/>
              </w:rPr>
              <w:t>ое</w:t>
            </w:r>
            <w:r>
              <w:rPr>
                <w:rFonts w:eastAsiaTheme="minorHAnsi"/>
                <w:sz w:val="24"/>
                <w:szCs w:val="24"/>
                <w:lang w:eastAsia="en-US"/>
              </w:rPr>
              <w:t xml:space="preserve"> </w:t>
            </w:r>
            <w:r w:rsidRPr="007663E5">
              <w:rPr>
                <w:rFonts w:eastAsiaTheme="minorHAnsi"/>
                <w:szCs w:val="22"/>
                <w:lang w:eastAsia="en-US"/>
              </w:rPr>
              <w:t>общ</w:t>
            </w:r>
            <w:r w:rsidR="00D94D1C">
              <w:rPr>
                <w:rFonts w:eastAsiaTheme="minorHAnsi"/>
                <w:szCs w:val="22"/>
                <w:lang w:eastAsia="en-US"/>
              </w:rPr>
              <w:t>ее</w:t>
            </w:r>
            <w:r>
              <w:rPr>
                <w:rFonts w:eastAsiaTheme="minorHAnsi"/>
                <w:sz w:val="24"/>
                <w:szCs w:val="24"/>
                <w:lang w:eastAsia="en-US"/>
              </w:rPr>
              <w:t xml:space="preserve"> </w:t>
            </w:r>
            <w:r w:rsidR="00D94D1C">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принимаемых для оценки договоров: 5.</w:t>
            </w:r>
          </w:p>
          <w:p w:rsidR="004E5B7B" w:rsidRPr="00CC0DFD" w:rsidRDefault="004E5B7B" w:rsidP="004E5B7B">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1F26" w:rsidRPr="00B42D5B" w:rsidRDefault="004E5B7B" w:rsidP="004E5B7B">
            <w:pPr>
              <w:widowControl/>
              <w:tabs>
                <w:tab w:val="clear" w:pos="552"/>
              </w:tabs>
              <w:suppressAutoHyphens w:val="0"/>
              <w:autoSpaceDE w:val="0"/>
              <w:autoSpaceDN w:val="0"/>
              <w:adjustRightInd w:val="0"/>
              <w:spacing w:line="240" w:lineRule="auto"/>
              <w:jc w:val="both"/>
              <w:rPr>
                <w:bCs/>
                <w:sz w:val="24"/>
                <w:szCs w:val="24"/>
              </w:rPr>
            </w:pPr>
            <w:r w:rsidRPr="00D51F77">
              <w:rPr>
                <w:sz w:val="24"/>
                <w:szCs w:val="24"/>
              </w:rPr>
              <w:t xml:space="preserve">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w:t>
            </w:r>
            <w:r w:rsidRPr="00D51F77">
              <w:rPr>
                <w:sz w:val="24"/>
                <w:szCs w:val="24"/>
              </w:rPr>
              <w:lastRenderedPageBreak/>
              <w:t>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D9342F" w:rsidRPr="007663E5" w:rsidTr="008F3B1E">
        <w:trPr>
          <w:trHeight w:val="28"/>
        </w:trPr>
        <w:tc>
          <w:tcPr>
            <w:tcW w:w="454"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925"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882"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специалистов и иных работников определенного уровня квалификации</w:t>
            </w:r>
          </w:p>
        </w:tc>
        <w:tc>
          <w:tcPr>
            <w:tcW w:w="850" w:type="dxa"/>
          </w:tcPr>
          <w:p w:rsidR="00D9342F" w:rsidRPr="007663E5" w:rsidRDefault="0040785B"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w:t>
            </w:r>
            <w:r w:rsidR="00D9342F">
              <w:rPr>
                <w:rFonts w:eastAsiaTheme="minorHAnsi"/>
                <w:szCs w:val="22"/>
                <w:lang w:eastAsia="en-US"/>
              </w:rPr>
              <w:t>0</w:t>
            </w:r>
          </w:p>
        </w:tc>
        <w:tc>
          <w:tcPr>
            <w:tcW w:w="2256" w:type="dxa"/>
          </w:tcPr>
          <w:p w:rsidR="00D9342F" w:rsidRPr="003D6E6F" w:rsidRDefault="00D9342F" w:rsidP="00963412">
            <w:pPr>
              <w:widowControl/>
              <w:tabs>
                <w:tab w:val="clear" w:pos="552"/>
              </w:tabs>
              <w:suppressAutoHyphens w:val="0"/>
              <w:autoSpaceDE w:val="0"/>
              <w:autoSpaceDN w:val="0"/>
              <w:adjustRightInd w:val="0"/>
              <w:spacing w:line="240" w:lineRule="auto"/>
              <w:rPr>
                <w:rFonts w:eastAsiaTheme="minorHAnsi"/>
                <w:szCs w:val="22"/>
                <w:lang w:eastAsia="en-US"/>
              </w:rPr>
            </w:pPr>
            <w:r w:rsidRPr="003D6E6F">
              <w:rPr>
                <w:rFonts w:eastAsiaTheme="minorHAnsi"/>
                <w:szCs w:val="22"/>
                <w:lang w:eastAsia="en-US"/>
              </w:rPr>
              <w:t>признак N 1 (</w:t>
            </w:r>
            <w:r w:rsidR="00CF7C7D" w:rsidRPr="003D6E6F">
              <w:rPr>
                <w:sz w:val="24"/>
                <w:szCs w:val="24"/>
              </w:rPr>
              <w:t>наличие специалистов и иных работников, их квалификация, необходимые для выполнения работ, являющихся объектом закупки, а также документов, подтверждающих наличие специалистов и иных работников, их квалификацию</w:t>
            </w:r>
            <w:r w:rsidRPr="003D6E6F">
              <w:rPr>
                <w:rFonts w:eastAsiaTheme="minorHAnsi"/>
                <w:szCs w:val="22"/>
                <w:lang w:eastAsia="en-US"/>
              </w:rPr>
              <w:t xml:space="preserve">) </w:t>
            </w:r>
          </w:p>
        </w:tc>
        <w:tc>
          <w:tcPr>
            <w:tcW w:w="1277" w:type="dxa"/>
          </w:tcPr>
          <w:p w:rsidR="00D9342F" w:rsidRPr="003D6E6F" w:rsidRDefault="00CF7C7D"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3D6E6F">
              <w:rPr>
                <w:rFonts w:eastAsiaTheme="minorHAnsi"/>
                <w:szCs w:val="22"/>
                <w:lang w:eastAsia="en-US"/>
              </w:rPr>
              <w:t>100</w:t>
            </w:r>
          </w:p>
        </w:tc>
        <w:tc>
          <w:tcPr>
            <w:tcW w:w="4252" w:type="dxa"/>
          </w:tcPr>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Для оценки заявок по данному показателю устанавливается:</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а) наличие специалистов и иных работников, их квалификация, необходимые для выполнения работ, являющихся объектом закупки, а именно</w:t>
            </w:r>
            <w:r w:rsidR="00963412">
              <w:rPr>
                <w:rFonts w:ascii="Times New Roman" w:hAnsi="Times New Roman"/>
                <w:sz w:val="24"/>
                <w:szCs w:val="24"/>
              </w:rPr>
              <w:t xml:space="preserve"> </w:t>
            </w:r>
            <w:r w:rsidRPr="003D6E6F">
              <w:rPr>
                <w:rFonts w:ascii="Times New Roman" w:hAnsi="Times New Roman"/>
                <w:sz w:val="24"/>
                <w:szCs w:val="24"/>
              </w:rPr>
              <w:t xml:space="preserve">врач-ортопед (либо </w:t>
            </w:r>
            <w:r w:rsidRPr="003D6E6F">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00963412">
              <w:rPr>
                <w:rFonts w:ascii="Times New Roman" w:hAnsi="Times New Roman"/>
                <w:sz w:val="24"/>
                <w:szCs w:val="24"/>
              </w:rPr>
              <w:t>.</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w:t>
            </w:r>
            <w:r w:rsidRPr="003D6E6F">
              <w:rPr>
                <w:rFonts w:ascii="Times New Roman" w:hAnsi="Times New Roman"/>
                <w:sz w:val="24"/>
                <w:szCs w:val="24"/>
              </w:rPr>
              <w:lastRenderedPageBreak/>
              <w:t>отчетный период, предшествующий последнему отчетному периоду на момент окончания срока подачи заявок);</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w:t>
            </w:r>
            <w:r w:rsidRPr="003D6E6F">
              <w:rPr>
                <w:rFonts w:ascii="Times New Roman" w:hAnsi="Times New Roman"/>
                <w:sz w:val="24"/>
                <w:szCs w:val="24"/>
              </w:rPr>
              <w:lastRenderedPageBreak/>
              <w:t>соответствующих обобщенной трудовой функции кода A профессионального стандарта "Врач - травматолог-ортопед").</w:t>
            </w:r>
          </w:p>
          <w:p w:rsidR="003D6E6F" w:rsidRPr="003D6E6F" w:rsidRDefault="003D6E6F" w:rsidP="003D6E6F">
            <w:pPr>
              <w:pStyle w:val="a7"/>
              <w:rPr>
                <w:rFonts w:ascii="Times New Roman" w:hAnsi="Times New Roman"/>
                <w:sz w:val="24"/>
                <w:szCs w:val="24"/>
              </w:rPr>
            </w:pP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Данный показатель (</w:t>
            </w:r>
            <w:proofErr w:type="spellStart"/>
            <w:r w:rsidRPr="003D6E6F">
              <w:rPr>
                <w:rFonts w:ascii="Times New Roman" w:hAnsi="Times New Roman"/>
                <w:sz w:val="24"/>
                <w:szCs w:val="24"/>
              </w:rPr>
              <w:t>БХ</w:t>
            </w:r>
            <w:r w:rsidRPr="003D6E6F">
              <w:rPr>
                <w:rFonts w:ascii="Times New Roman" w:hAnsi="Times New Roman"/>
                <w:sz w:val="24"/>
                <w:szCs w:val="24"/>
                <w:vertAlign w:val="subscript"/>
              </w:rPr>
              <w:t>i</w:t>
            </w:r>
            <w:proofErr w:type="spellEnd"/>
            <w:r w:rsidRPr="003D6E6F">
              <w:rPr>
                <w:rFonts w:ascii="Times New Roman" w:hAnsi="Times New Roman"/>
                <w:sz w:val="24"/>
                <w:szCs w:val="24"/>
              </w:rPr>
              <w:t>) рассчитывается следующим образом:</w:t>
            </w:r>
          </w:p>
          <w:p w:rsidR="003D6E6F" w:rsidRPr="003D6E6F" w:rsidRDefault="003D6E6F" w:rsidP="003D6E6F">
            <w:pPr>
              <w:ind w:right="-39" w:firstLine="567"/>
            </w:pPr>
            <w:r w:rsidRPr="003D6E6F">
              <w:rPr>
                <w:noProof/>
                <w:position w:val="-26"/>
                <w:lang w:eastAsia="ru-RU"/>
              </w:rPr>
              <w:drawing>
                <wp:inline distT="0" distB="0" distL="0" distR="0" wp14:anchorId="6BC8C470" wp14:editId="1024DD59">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D6E6F" w:rsidRPr="003D6E6F" w:rsidRDefault="003D6E6F" w:rsidP="003D6E6F">
            <w:pPr>
              <w:ind w:right="-39" w:firstLine="567"/>
            </w:pPr>
          </w:p>
          <w:p w:rsidR="003D6E6F" w:rsidRPr="003D6E6F" w:rsidRDefault="003D6E6F" w:rsidP="003D6E6F">
            <w:pPr>
              <w:pStyle w:val="ConsPlusNormal"/>
              <w:ind w:firstLine="540"/>
              <w:rPr>
                <w:rFonts w:ascii="Times New Roman" w:hAnsi="Times New Roman" w:cs="Times New Roman"/>
                <w:sz w:val="24"/>
                <w:szCs w:val="24"/>
              </w:rPr>
            </w:pPr>
            <w:r w:rsidRPr="003D6E6F">
              <w:rPr>
                <w:rFonts w:ascii="Times New Roman" w:hAnsi="Times New Roman" w:cs="Times New Roman"/>
                <w:sz w:val="24"/>
                <w:szCs w:val="24"/>
              </w:rPr>
              <w:t>где:</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max</w:t>
            </w:r>
            <w:proofErr w:type="spellEnd"/>
            <w:r w:rsidRPr="003D6E6F">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i</w:t>
            </w:r>
            <w:proofErr w:type="spellEnd"/>
            <w:r w:rsidRPr="003D6E6F">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3D6E6F">
              <w:rPr>
                <w:rFonts w:ascii="Times New Roman" w:hAnsi="Times New Roman" w:cs="Times New Roman"/>
                <w:sz w:val="24"/>
                <w:szCs w:val="24"/>
              </w:rPr>
              <w:lastRenderedPageBreak/>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min</w:t>
            </w:r>
            <w:proofErr w:type="spellEnd"/>
            <w:r w:rsidRPr="003D6E6F">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342F" w:rsidRPr="007978F0" w:rsidRDefault="003D6E6F" w:rsidP="007978F0">
            <w:pPr>
              <w:pStyle w:val="ConsPlusNormal"/>
              <w:spacing w:before="220"/>
              <w:ind w:firstLine="540"/>
              <w:rPr>
                <w:rFonts w:ascii="Times New Roman" w:hAnsi="Times New Roman" w:cs="Times New Roman"/>
                <w:sz w:val="24"/>
                <w:szCs w:val="24"/>
              </w:rPr>
            </w:pPr>
            <w:r w:rsidRPr="007978F0">
              <w:rPr>
                <w:rFonts w:ascii="Times New Roman" w:hAnsi="Times New Roman" w:cs="Times New Roman"/>
                <w:sz w:val="24"/>
                <w:szCs w:val="24"/>
              </w:rPr>
              <w:t xml:space="preserve">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w:t>
            </w:r>
            <w:r w:rsidRPr="007978F0">
              <w:rPr>
                <w:rFonts w:ascii="Times New Roman" w:hAnsi="Times New Roman" w:cs="Times New Roman"/>
                <w:sz w:val="24"/>
                <w:szCs w:val="24"/>
              </w:rPr>
              <w:lastRenderedPageBreak/>
              <w:t xml:space="preserve">которые подтверждены документально </w:t>
            </w:r>
            <w:bookmarkStart w:id="1" w:name="_GoBack"/>
            <w:bookmarkEnd w:id="1"/>
            <w:r w:rsidRPr="007978F0">
              <w:rPr>
                <w:rFonts w:ascii="Times New Roman" w:hAnsi="Times New Roman" w:cs="Times New Roman"/>
                <w:sz w:val="24"/>
                <w:szCs w:val="24"/>
              </w:rPr>
              <w:t>в составе заявки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6838" w:h="11905" w:orient="landscape"/>
          <w:pgMar w:top="1701" w:right="1134" w:bottom="850" w:left="1134" w:header="0" w:footer="0" w:gutter="0"/>
          <w:cols w:space="720"/>
          <w:noEndnote/>
        </w:sectPr>
      </w:pPr>
    </w:p>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63E5" w:rsidRPr="007663E5">
        <w:tc>
          <w:tcPr>
            <w:tcW w:w="9071"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7663E5">
                <w:rPr>
                  <w:rFonts w:eastAsiaTheme="minorHAnsi"/>
                  <w:color w:val="0000FF"/>
                  <w:szCs w:val="22"/>
                  <w:lang w:eastAsia="en-US"/>
                </w:rPr>
                <w:t>разделом II</w:t>
              </w:r>
            </w:hyperlink>
            <w:r w:rsidRPr="007663E5">
              <w:rPr>
                <w:rFonts w:eastAsiaTheme="minorHAnsi"/>
                <w:szCs w:val="22"/>
                <w:lang w:eastAsia="en-US"/>
              </w:rPr>
              <w:t xml:space="preserve"> настоящего документа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N</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7663E5">
                <w:rPr>
                  <w:rFonts w:eastAsiaTheme="minorHAnsi"/>
                  <w:color w:val="0000FF"/>
                  <w:szCs w:val="22"/>
                  <w:lang w:eastAsia="en-US"/>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Положение о применения критерия оценки, показателя оценки, показателя оценки, детализирующего показатель оценки</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2</w:t>
            </w: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2" w:name="Par166"/>
            <w:bookmarkEnd w:id="2"/>
            <w:r w:rsidRPr="007663E5">
              <w:rPr>
                <w:rFonts w:eastAsiaTheme="minorHAnsi"/>
                <w:szCs w:val="22"/>
                <w:lang w:eastAsia="en-US"/>
              </w:rPr>
              <w:t>3</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Pr="007663E5"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sectPr w:rsidR="002209B4" w:rsidRPr="0076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1"/>
    <w:rsid w:val="000615F8"/>
    <w:rsid w:val="0007650B"/>
    <w:rsid w:val="000C524E"/>
    <w:rsid w:val="000D787C"/>
    <w:rsid w:val="001D4AC7"/>
    <w:rsid w:val="002209B4"/>
    <w:rsid w:val="00292218"/>
    <w:rsid w:val="00300833"/>
    <w:rsid w:val="003214C3"/>
    <w:rsid w:val="003D6E6F"/>
    <w:rsid w:val="0040785B"/>
    <w:rsid w:val="004E5B7B"/>
    <w:rsid w:val="00532358"/>
    <w:rsid w:val="005A751D"/>
    <w:rsid w:val="006D1A84"/>
    <w:rsid w:val="007663E5"/>
    <w:rsid w:val="00795253"/>
    <w:rsid w:val="007978F0"/>
    <w:rsid w:val="00811F8C"/>
    <w:rsid w:val="008C0261"/>
    <w:rsid w:val="008E12C0"/>
    <w:rsid w:val="008E633C"/>
    <w:rsid w:val="008F3B1E"/>
    <w:rsid w:val="00933CFB"/>
    <w:rsid w:val="00963412"/>
    <w:rsid w:val="00984804"/>
    <w:rsid w:val="00B470BF"/>
    <w:rsid w:val="00B93E64"/>
    <w:rsid w:val="00BF785F"/>
    <w:rsid w:val="00C32FC2"/>
    <w:rsid w:val="00CB1F26"/>
    <w:rsid w:val="00CF7C7D"/>
    <w:rsid w:val="00D061C2"/>
    <w:rsid w:val="00D51F77"/>
    <w:rsid w:val="00D9342F"/>
    <w:rsid w:val="00D94D1C"/>
    <w:rsid w:val="00EA5B72"/>
    <w:rsid w:val="00F610C0"/>
    <w:rsid w:val="00FD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7F-D95A-4BAE-BCCE-C2DDA40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C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2C0"/>
    <w:pPr>
      <w:widowControl/>
      <w:tabs>
        <w:tab w:val="clear" w:pos="552"/>
      </w:tabs>
      <w:suppressAutoHyphens w:val="0"/>
      <w:spacing w:after="120" w:line="240" w:lineRule="auto"/>
    </w:pPr>
    <w:rPr>
      <w:sz w:val="24"/>
      <w:szCs w:val="24"/>
      <w:lang w:eastAsia="ru-RU"/>
    </w:rPr>
  </w:style>
  <w:style w:type="character" w:customStyle="1" w:styleId="a4">
    <w:name w:val="Основной текст Знак"/>
    <w:basedOn w:val="a0"/>
    <w:link w:val="a3"/>
    <w:uiPriority w:val="99"/>
    <w:rsid w:val="008E12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2FC2"/>
    <w:rPr>
      <w:rFonts w:ascii="Segoe UI" w:eastAsia="Times New Roman" w:hAnsi="Segoe UI" w:cs="Segoe UI"/>
      <w:sz w:val="18"/>
      <w:szCs w:val="18"/>
      <w:lang w:eastAsia="ar-SA"/>
    </w:rPr>
  </w:style>
  <w:style w:type="paragraph" w:customStyle="1" w:styleId="ConsPlusNormal">
    <w:name w:val="ConsPlusNormal"/>
    <w:link w:val="ConsPlusNormal0"/>
    <w:rsid w:val="00C32F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32FC2"/>
    <w:rPr>
      <w:rFonts w:ascii="Arial" w:eastAsia="Times New Roman" w:hAnsi="Arial" w:cs="Arial"/>
      <w:sz w:val="20"/>
      <w:szCs w:val="20"/>
      <w:lang w:eastAsia="ru-RU"/>
    </w:rPr>
  </w:style>
  <w:style w:type="paragraph" w:styleId="a7">
    <w:name w:val="No Spacing"/>
    <w:uiPriority w:val="1"/>
    <w:qFormat/>
    <w:rsid w:val="00D9342F"/>
    <w:pPr>
      <w:spacing w:after="0" w:line="240" w:lineRule="auto"/>
      <w:ind w:firstLine="709"/>
      <w:jc w:val="both"/>
    </w:pPr>
    <w:rPr>
      <w:rFonts w:ascii="Calibri" w:eastAsia="Calibri" w:hAnsi="Calibri" w:cs="Times New Roman"/>
    </w:rPr>
  </w:style>
  <w:style w:type="character" w:styleId="a8">
    <w:name w:val="Strong"/>
    <w:basedOn w:val="a0"/>
    <w:uiPriority w:val="22"/>
    <w:qFormat/>
    <w:rsid w:val="00300833"/>
    <w:rPr>
      <w:b/>
      <w:bCs/>
    </w:rPr>
  </w:style>
  <w:style w:type="paragraph" w:customStyle="1" w:styleId="a9">
    <w:name w:val="Пункт"/>
    <w:basedOn w:val="a"/>
    <w:rsid w:val="002209B4"/>
    <w:pPr>
      <w:widowControl/>
      <w:tabs>
        <w:tab w:val="clear" w:pos="552"/>
        <w:tab w:val="num" w:pos="1980"/>
      </w:tabs>
      <w:suppressAutoHyphens w:val="0"/>
      <w:spacing w:line="240" w:lineRule="auto"/>
      <w:ind w:left="1404" w:hanging="504"/>
      <w:jc w:val="both"/>
    </w:pPr>
    <w:rPr>
      <w:sz w:val="24"/>
      <w:szCs w:val="28"/>
      <w:lang w:eastAsia="ru-RU"/>
    </w:rPr>
  </w:style>
  <w:style w:type="table" w:customStyle="1" w:styleId="25">
    <w:name w:val="Сетка таблицы25"/>
    <w:basedOn w:val="a1"/>
    <w:next w:val="aa"/>
    <w:uiPriority w:val="39"/>
    <w:rsid w:val="0022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2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5767-9856-43B8-B0F5-5FD04183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35</cp:revision>
  <cp:lastPrinted>2022-01-14T01:08:00Z</cp:lastPrinted>
  <dcterms:created xsi:type="dcterms:W3CDTF">2022-01-11T03:16:00Z</dcterms:created>
  <dcterms:modified xsi:type="dcterms:W3CDTF">2022-02-17T09:05:00Z</dcterms:modified>
</cp:coreProperties>
</file>