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3F3C02">
                    <w:rPr>
                      <w:i/>
                    </w:rPr>
                    <w:t>врачей-</w:t>
                  </w:r>
                  <w:r w:rsidR="00E073E6">
                    <w:rPr>
                      <w:i/>
                    </w:rPr>
                    <w:t>пульмонологов</w:t>
                  </w:r>
                  <w:r w:rsidR="003F3C02">
                    <w:rPr>
                      <w:i/>
                    </w:rPr>
                    <w:t xml:space="preserve">, </w:t>
                  </w:r>
                  <w:r w:rsidR="004C482A">
                    <w:rPr>
                      <w:i/>
                    </w:rPr>
                    <w:t>врачей-</w:t>
                  </w:r>
                  <w:r w:rsidR="00E073E6">
                    <w:rPr>
                      <w:i/>
                    </w:rPr>
                    <w:t>неврологов</w:t>
                  </w:r>
                  <w:r w:rsidR="006758E2">
                    <w:rPr>
                      <w:i/>
                    </w:rPr>
                    <w:t>, врачей-</w:t>
                  </w:r>
                  <w:r w:rsidR="007869BA">
                    <w:rPr>
                      <w:i/>
                    </w:rPr>
                    <w:t>кардиологов</w:t>
                  </w:r>
                  <w:r w:rsidR="000059C4">
                    <w:rPr>
                      <w:i/>
                    </w:rPr>
                    <w:t>, врачей-</w:t>
                  </w:r>
                  <w:r w:rsidR="00E073E6">
                    <w:rPr>
                      <w:i/>
                    </w:rPr>
                    <w:t>гастроэнтеролого</w:t>
                  </w:r>
                  <w:r w:rsidR="000059C4">
                    <w:rPr>
                      <w:i/>
                    </w:rPr>
                    <w:t>в</w:t>
                  </w:r>
                  <w:r w:rsidR="003F3C02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0059C4" w:rsidRPr="00611C22" w:rsidRDefault="000059C4" w:rsidP="000059C4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0059C4" w:rsidRPr="00611C22" w:rsidRDefault="000059C4" w:rsidP="000059C4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 врачей (из них врач-кардиолог – не менее 1 человека, врач-</w:t>
                  </w:r>
                  <w:r w:rsidR="00E073E6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4"/>
                    </w:rPr>
                    <w:t>э</w:t>
                  </w:r>
                  <w:r w:rsidR="00E073E6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человека)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0059C4" w:rsidP="00E073E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врач-кардиолог – не менее 1 человека, врач-</w:t>
                  </w:r>
                  <w:r w:rsidR="00E073E6">
                    <w:rPr>
                      <w:rFonts w:ascii="Times New Roman" w:hAnsi="Times New Roman"/>
                      <w:sz w:val="22"/>
                      <w:szCs w:val="24"/>
                    </w:rPr>
                    <w:t>пульмонолог - не менее 1 человека, врач-невролог</w:t>
                  </w:r>
                  <w:r w:rsidRPr="00AF020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-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E073E6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bookmarkStart w:id="1" w:name="_GoBack"/>
                  <w:bookmarkEnd w:id="1"/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4D0DD1" w:rsidRPr="000579B7" w:rsidRDefault="004D0DD1" w:rsidP="004D0DD1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4D0DD1" w:rsidRPr="003A7EBC" w:rsidRDefault="004D0DD1" w:rsidP="004D0DD1">
                  <w:r w:rsidRPr="00D93BBF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 xml:space="preserve">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4C482A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4C482A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4C482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4C482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4D0DD1" w:rsidRPr="003A7EBC" w:rsidRDefault="004D0DD1" w:rsidP="004D0DD1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</w:t>
                  </w:r>
                  <w:r w:rsidRPr="003A7EBC">
                    <w:rPr>
                      <w:sz w:val="22"/>
                      <w:szCs w:val="22"/>
                    </w:rPr>
                    <w:lastRenderedPageBreak/>
                    <w:t>не принимаются</w:t>
                  </w:r>
                </w:p>
                <w:p w:rsidR="004D0DD1" w:rsidRPr="003A7EBC" w:rsidRDefault="004D0DD1" w:rsidP="004D0DD1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4D0DD1" w:rsidRPr="00EA77A4" w:rsidRDefault="004D0DD1" w:rsidP="004D0DD1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4D0DD1" w:rsidRPr="00EA77A4" w:rsidRDefault="004D0DD1" w:rsidP="004D0DD1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446E46A" wp14:editId="2EB56244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4D0DD1" w:rsidRPr="00EA77A4" w:rsidRDefault="004D0DD1" w:rsidP="004D0DD1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F87A789" wp14:editId="123334FF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4D0DD1" w:rsidRPr="00EA77A4" w:rsidRDefault="004D0DD1" w:rsidP="004D0DD1"/>
                <w:p w:rsidR="004D0DD1" w:rsidRPr="00EA77A4" w:rsidRDefault="004D0DD1" w:rsidP="004D0DD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184E8C9" wp14:editId="72E3522A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4D0DD1" w:rsidRPr="00EA77A4" w:rsidRDefault="004D0DD1" w:rsidP="004D0DD1"/>
                <w:p w:rsidR="004D0DD1" w:rsidRPr="00EA77A4" w:rsidRDefault="004D0DD1" w:rsidP="004D0DD1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5D40BB9" wp14:editId="02D2726E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4D0DD1" w:rsidRPr="00EA77A4" w:rsidRDefault="004D0DD1" w:rsidP="004D0DD1"/>
                <w:p w:rsidR="004D0DD1" w:rsidRPr="00EA77A4" w:rsidRDefault="004D0DD1" w:rsidP="004D0DD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E7C9E9B" wp14:editId="6DDD8670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4D0DD1" w:rsidRPr="00EA77A4" w:rsidRDefault="004D0DD1" w:rsidP="004D0DD1"/>
                <w:p w:rsidR="004D0DD1" w:rsidRPr="00EA77A4" w:rsidRDefault="004D0DD1" w:rsidP="004D0DD1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67B5745" wp14:editId="24CFD127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4D0DD1" w:rsidRDefault="004D0DD1" w:rsidP="004D0DD1">
                  <w:pPr>
                    <w:rPr>
                      <w:sz w:val="22"/>
                      <w:szCs w:val="22"/>
                    </w:rPr>
                  </w:pPr>
                </w:p>
                <w:p w:rsidR="004D0DD1" w:rsidRPr="00EA77A4" w:rsidRDefault="004D0DD1" w:rsidP="004D0DD1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4D0DD1" w:rsidRPr="00EA77A4" w:rsidRDefault="004D0DD1" w:rsidP="004D0DD1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4D0DD1" w:rsidRPr="00EA77A4" w:rsidRDefault="004D0DD1" w:rsidP="004D0DD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3978BE6" wp14:editId="77DEE260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4D0DD1" w:rsidRPr="00EA77A4" w:rsidRDefault="004D0DD1" w:rsidP="004D0DD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9F6553" wp14:editId="49FF0315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4D0DD1" w:rsidRPr="003F3C02" w:rsidRDefault="004D0DD1" w:rsidP="004D0DD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72625FA" wp14:editId="6D8BD07E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4C482A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4C482A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4C482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4C482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>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4D0DD1" w:rsidP="004D0DD1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CA6876" wp14:editId="1B1645EB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>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059C4"/>
    <w:rsid w:val="00066240"/>
    <w:rsid w:val="001735B6"/>
    <w:rsid w:val="00181A89"/>
    <w:rsid w:val="001C7781"/>
    <w:rsid w:val="002B43A8"/>
    <w:rsid w:val="00315FAA"/>
    <w:rsid w:val="0036253B"/>
    <w:rsid w:val="003F3C02"/>
    <w:rsid w:val="003F571D"/>
    <w:rsid w:val="004C482A"/>
    <w:rsid w:val="004D0DD1"/>
    <w:rsid w:val="006758E2"/>
    <w:rsid w:val="006F4FA6"/>
    <w:rsid w:val="006F69FB"/>
    <w:rsid w:val="00731B66"/>
    <w:rsid w:val="007869BA"/>
    <w:rsid w:val="00817320"/>
    <w:rsid w:val="00960194"/>
    <w:rsid w:val="00A32735"/>
    <w:rsid w:val="00A33E92"/>
    <w:rsid w:val="00A342E6"/>
    <w:rsid w:val="00A6065B"/>
    <w:rsid w:val="00AB7F0B"/>
    <w:rsid w:val="00AC0D55"/>
    <w:rsid w:val="00BC77D0"/>
    <w:rsid w:val="00BF4B43"/>
    <w:rsid w:val="00C221AF"/>
    <w:rsid w:val="00CE5B53"/>
    <w:rsid w:val="00D04103"/>
    <w:rsid w:val="00DD0326"/>
    <w:rsid w:val="00E073E6"/>
    <w:rsid w:val="00E5033D"/>
    <w:rsid w:val="00E506E5"/>
    <w:rsid w:val="00E51D11"/>
    <w:rsid w:val="00E75037"/>
    <w:rsid w:val="00ED740E"/>
    <w:rsid w:val="00F07901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71F4-2DBC-42A1-BD8D-10ECC7CF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9</cp:revision>
  <cp:lastPrinted>2020-02-17T12:11:00Z</cp:lastPrinted>
  <dcterms:created xsi:type="dcterms:W3CDTF">2020-11-30T12:57:00Z</dcterms:created>
  <dcterms:modified xsi:type="dcterms:W3CDTF">2021-10-28T07:03:00Z</dcterms:modified>
</cp:coreProperties>
</file>