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</w:t>
      </w:r>
    </w:p>
    <w:p w:rsidR="001E70AC" w:rsidRDefault="001E70AC" w:rsidP="001E70AC">
      <w:pPr>
        <w:pStyle w:val="a7"/>
        <w:keepNext w:val="0"/>
        <w:widowControl w:val="0"/>
        <w:tabs>
          <w:tab w:val="left" w:pos="8160"/>
        </w:tabs>
        <w:overflowPunct/>
        <w:autoSpaceDE/>
        <w:autoSpaceDN w:val="0"/>
        <w:spacing w:line="240" w:lineRule="auto"/>
        <w:jc w:val="right"/>
        <w:rPr>
          <w:color w:val="auto"/>
        </w:rPr>
      </w:pPr>
      <w:r>
        <w:rPr>
          <w:color w:val="auto"/>
        </w:rPr>
        <w:t>к Извещению о закупке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FB3" w:rsidRDefault="00151FB3" w:rsidP="00151F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151FB3" w:rsidRDefault="00151FB3" w:rsidP="00151F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8A">
        <w:rPr>
          <w:rFonts w:ascii="Times New Roman" w:hAnsi="Times New Roman" w:cs="Times New Roman"/>
          <w:b/>
          <w:sz w:val="24"/>
          <w:szCs w:val="24"/>
        </w:rPr>
        <w:t>Оказание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</w:t>
      </w:r>
    </w:p>
    <w:p w:rsidR="00151FB3" w:rsidRDefault="00151FB3" w:rsidP="00151FB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3D0" w:rsidRPr="00151FB3" w:rsidRDefault="00151FB3" w:rsidP="00151FB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68FC">
        <w:rPr>
          <w:rFonts w:ascii="Times New Roman" w:eastAsia="Calibri" w:hAnsi="Times New Roman" w:cs="Times New Roman"/>
          <w:b/>
          <w:sz w:val="24"/>
          <w:szCs w:val="24"/>
        </w:rPr>
        <w:t>ОКПД2 86.90.19.140</w:t>
      </w:r>
    </w:p>
    <w:p w:rsidR="006277AA" w:rsidRDefault="006277AA" w:rsidP="00627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цены контракта – </w:t>
      </w:r>
      <w:r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2 630 340,</w:t>
      </w:r>
      <w:r w:rsidR="006645CB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00 </w:t>
      </w:r>
      <w:r w:rsidR="006645CB" w:rsidRPr="00210808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7AA" w:rsidRDefault="006277AA" w:rsidP="00627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1B9">
        <w:rPr>
          <w:rFonts w:ascii="Times New Roman" w:hAnsi="Times New Roman" w:cs="Times New Roman"/>
          <w:sz w:val="24"/>
          <w:szCs w:val="24"/>
        </w:rPr>
        <w:t xml:space="preserve">Начальная цена единицы </w:t>
      </w:r>
      <w:r w:rsidR="006645CB" w:rsidRPr="00D061B9">
        <w:rPr>
          <w:rFonts w:ascii="Times New Roman" w:hAnsi="Times New Roman" w:cs="Times New Roman"/>
          <w:sz w:val="24"/>
          <w:szCs w:val="24"/>
        </w:rPr>
        <w:t>услуги: 1</w:t>
      </w:r>
      <w:r w:rsidRPr="00D061B9">
        <w:rPr>
          <w:rFonts w:ascii="Times New Roman" w:hAnsi="Times New Roman" w:cs="Times New Roman"/>
          <w:sz w:val="24"/>
          <w:szCs w:val="24"/>
        </w:rPr>
        <w:t xml:space="preserve"> 461,30 рублей</w:t>
      </w:r>
      <w:r w:rsidRPr="00A0584B">
        <w:rPr>
          <w:rFonts w:ascii="Times New Roman" w:hAnsi="Times New Roman"/>
          <w:sz w:val="24"/>
          <w:szCs w:val="24"/>
        </w:rPr>
        <w:t xml:space="preserve"> </w:t>
      </w:r>
    </w:p>
    <w:p w:rsidR="006277AA" w:rsidRDefault="006277AA" w:rsidP="00627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11C44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город-курорт Большие Сочи.</w:t>
      </w:r>
    </w:p>
    <w:p w:rsidR="006277AA" w:rsidRDefault="006277AA" w:rsidP="00627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 – с даты заключения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19 декабря 2022 года. </w:t>
      </w:r>
      <w:r w:rsidRPr="004D1BF8">
        <w:rPr>
          <w:rFonts w:ascii="Times New Roman" w:hAnsi="Times New Roman" w:cs="Times New Roman"/>
          <w:sz w:val="24"/>
          <w:szCs w:val="24"/>
        </w:rPr>
        <w:t xml:space="preserve"> Срок последнего заезда должен быть не позднее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207A">
        <w:rPr>
          <w:rFonts w:ascii="Times New Roman" w:hAnsi="Times New Roman" w:cs="Times New Roman"/>
          <w:sz w:val="24"/>
          <w:szCs w:val="24"/>
        </w:rPr>
        <w:t>Оказание услуг осуществляется Исполнителем частями по заявке Заказчика (по фактической потребности Заказчика).</w:t>
      </w:r>
    </w:p>
    <w:p w:rsidR="006277AA" w:rsidRDefault="006277AA" w:rsidP="00627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</w:t>
      </w:r>
      <w:r w:rsidR="00E70D4D" w:rsidRPr="00397500">
        <w:rPr>
          <w:rFonts w:ascii="Times New Roman" w:hAnsi="Times New Roman"/>
          <w:sz w:val="24"/>
          <w:szCs w:val="24"/>
        </w:rPr>
        <w:t>ФЗ «</w:t>
      </w:r>
      <w:r w:rsidRPr="00397500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 xml:space="preserve">Услуги оказываются на основании путевки. Длительность санаторно-курортного лечения по одной путевке составляет 18 койко-дней. </w:t>
      </w:r>
    </w:p>
    <w:p w:rsidR="006277AA" w:rsidRDefault="006277AA" w:rsidP="006277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</w:t>
      </w:r>
      <w:r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 w:rsidRPr="00EF6E75">
        <w:rPr>
          <w:rFonts w:ascii="Times New Roman" w:hAnsi="Times New Roman"/>
          <w:spacing w:val="-4"/>
          <w:sz w:val="24"/>
          <w:szCs w:val="24"/>
        </w:rPr>
        <w:t xml:space="preserve">утвержденным </w:t>
      </w:r>
      <w:r>
        <w:rPr>
          <w:rFonts w:ascii="Times New Roman" w:hAnsi="Times New Roman"/>
          <w:spacing w:val="-4"/>
          <w:sz w:val="24"/>
          <w:szCs w:val="24"/>
        </w:rPr>
        <w:t>п</w:t>
      </w:r>
      <w:r w:rsidRPr="00EF6E75">
        <w:rPr>
          <w:rFonts w:ascii="Times New Roman" w:hAnsi="Times New Roman"/>
          <w:spacing w:val="-4"/>
          <w:sz w:val="24"/>
          <w:szCs w:val="24"/>
        </w:rPr>
        <w:t>остановлением Правительства Российской Федерации от 01.06.2021 N 852</w:t>
      </w:r>
      <w:r w:rsidRPr="00F74B77">
        <w:rPr>
          <w:rFonts w:ascii="Times New Roman" w:hAnsi="Times New Roman"/>
          <w:spacing w:val="-4"/>
          <w:sz w:val="24"/>
          <w:szCs w:val="24"/>
        </w:rPr>
        <w:t xml:space="preserve">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6A7E56">
        <w:rPr>
          <w:rFonts w:ascii="Times New Roman" w:hAnsi="Times New Roman"/>
          <w:bCs/>
          <w:sz w:val="24"/>
          <w:szCs w:val="24"/>
        </w:rPr>
        <w:t xml:space="preserve">«терапии»,  «травматологии и ортопедии», </w:t>
      </w:r>
      <w:r>
        <w:rPr>
          <w:rFonts w:ascii="Times New Roman" w:hAnsi="Times New Roman"/>
          <w:bCs/>
          <w:sz w:val="24"/>
          <w:szCs w:val="24"/>
        </w:rPr>
        <w:t xml:space="preserve">«кардиологии», </w:t>
      </w:r>
      <w:r w:rsidRPr="006A7E56">
        <w:rPr>
          <w:rFonts w:ascii="Times New Roman" w:hAnsi="Times New Roman"/>
          <w:bCs/>
          <w:sz w:val="24"/>
          <w:szCs w:val="24"/>
        </w:rPr>
        <w:t>«неврологии»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A7E56">
        <w:rPr>
          <w:rFonts w:ascii="Times New Roman" w:hAnsi="Times New Roman"/>
          <w:bCs/>
          <w:sz w:val="24"/>
          <w:szCs w:val="24"/>
        </w:rPr>
        <w:t xml:space="preserve">«оториноларингологии» (за исключением </w:t>
      </w:r>
      <w:proofErr w:type="spellStart"/>
      <w:r w:rsidRPr="006A7E56">
        <w:rPr>
          <w:rFonts w:ascii="Times New Roman" w:hAnsi="Times New Roman"/>
          <w:bCs/>
          <w:sz w:val="24"/>
          <w:szCs w:val="24"/>
        </w:rPr>
        <w:t>кохлеарно</w:t>
      </w:r>
      <w:r>
        <w:rPr>
          <w:rFonts w:ascii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«диетологии»</w:t>
      </w:r>
      <w:r w:rsidRPr="006A7E56">
        <w:rPr>
          <w:rFonts w:ascii="Times New Roman" w:hAnsi="Times New Roman"/>
          <w:bCs/>
          <w:sz w:val="24"/>
          <w:szCs w:val="24"/>
        </w:rPr>
        <w:t>.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23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lastRenderedPageBreak/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ВЕН;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6277AA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6277AA" w:rsidRPr="004C7954" w:rsidRDefault="006277AA" w:rsidP="006277A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277AA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6277AA" w:rsidRPr="004C7954" w:rsidRDefault="006277AA" w:rsidP="006277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6277AA" w:rsidRPr="004C7954" w:rsidRDefault="006277AA" w:rsidP="006277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eastAsia="Calibri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eastAsia="Calibri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eastAsia="Calibri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6277AA" w:rsidRDefault="006277AA" w:rsidP="006277A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6277AA" w:rsidRPr="004C7954" w:rsidRDefault="006277AA" w:rsidP="006277AA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 xml:space="preserve">укомплектован врачами-специалистами, соответствующими профилю </w:t>
      </w:r>
      <w:proofErr w:type="gramStart"/>
      <w:r w:rsidRPr="001E7AEA">
        <w:rPr>
          <w:rFonts w:ascii="Times New Roman" w:hAnsi="Times New Roman"/>
          <w:sz w:val="24"/>
          <w:szCs w:val="24"/>
        </w:rPr>
        <w:t>лечения,  указанному</w:t>
      </w:r>
      <w:proofErr w:type="gramEnd"/>
      <w:r w:rsidRPr="001E7AEA">
        <w:rPr>
          <w:rFonts w:ascii="Times New Roman" w:hAnsi="Times New Roman"/>
          <w:sz w:val="24"/>
          <w:szCs w:val="24"/>
        </w:rPr>
        <w:t xml:space="preserve"> в объекте закупки.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6277AA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Медицинская документация на поступающих граждан на санаторно-курортное лечение оформля</w:t>
      </w:r>
      <w:r>
        <w:rPr>
          <w:rFonts w:ascii="Times New Roman" w:eastAsia="Calibri" w:hAnsi="Times New Roman"/>
          <w:sz w:val="24"/>
          <w:szCs w:val="24"/>
        </w:rPr>
        <w:t>е</w:t>
      </w:r>
      <w:r w:rsidRPr="004C7954">
        <w:rPr>
          <w:rFonts w:ascii="Times New Roman" w:eastAsia="Calibri" w:hAnsi="Times New Roman"/>
          <w:sz w:val="24"/>
          <w:szCs w:val="24"/>
        </w:rPr>
        <w:t>тся по установленным формам Министерства здравоохранения Российской Федерации.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Исполнитель осуществляет организацию </w:t>
      </w:r>
      <w:r w:rsidRPr="002F17A4">
        <w:rPr>
          <w:rFonts w:ascii="Times New Roman" w:eastAsia="Calibri" w:hAnsi="Times New Roman"/>
          <w:sz w:val="24"/>
          <w:szCs w:val="24"/>
        </w:rPr>
        <w:t xml:space="preserve">транспортных услуг по доставке </w:t>
      </w:r>
      <w:r>
        <w:rPr>
          <w:rFonts w:ascii="Times New Roman" w:eastAsia="Calibri" w:hAnsi="Times New Roman"/>
          <w:sz w:val="24"/>
          <w:szCs w:val="24"/>
        </w:rPr>
        <w:t>Получателей услуг</w:t>
      </w:r>
      <w:r w:rsidRPr="002F17A4">
        <w:rPr>
          <w:rFonts w:ascii="Times New Roman" w:eastAsia="Calibri" w:hAnsi="Times New Roman"/>
          <w:sz w:val="24"/>
          <w:szCs w:val="24"/>
        </w:rPr>
        <w:t xml:space="preserve"> от места п</w:t>
      </w:r>
      <w:r>
        <w:rPr>
          <w:rFonts w:ascii="Times New Roman" w:eastAsia="Calibri" w:hAnsi="Times New Roman"/>
          <w:sz w:val="24"/>
          <w:szCs w:val="24"/>
        </w:rPr>
        <w:t>рибытия</w:t>
      </w:r>
      <w:r w:rsidRPr="002F17A4">
        <w:rPr>
          <w:rFonts w:ascii="Times New Roman" w:eastAsia="Calibri" w:hAnsi="Times New Roman"/>
          <w:sz w:val="24"/>
          <w:szCs w:val="24"/>
        </w:rPr>
        <w:t xml:space="preserve"> (ближайш</w:t>
      </w:r>
      <w:r>
        <w:rPr>
          <w:rFonts w:ascii="Times New Roman" w:eastAsia="Calibri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Pr="002F17A4">
        <w:rPr>
          <w:rFonts w:ascii="Times New Roman" w:eastAsia="Calibri" w:hAnsi="Times New Roman"/>
          <w:sz w:val="24"/>
          <w:szCs w:val="24"/>
        </w:rPr>
        <w:t xml:space="preserve"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</w:t>
      </w:r>
      <w:proofErr w:type="gramStart"/>
      <w:r w:rsidRPr="002F17A4">
        <w:rPr>
          <w:rFonts w:ascii="Times New Roman" w:eastAsia="Calibri" w:hAnsi="Times New Roman"/>
          <w:sz w:val="24"/>
          <w:szCs w:val="24"/>
        </w:rPr>
        <w:t>транспортных компаний</w:t>
      </w:r>
      <w:proofErr w:type="gramEnd"/>
      <w:r w:rsidRPr="002F17A4">
        <w:rPr>
          <w:rFonts w:ascii="Times New Roman" w:eastAsia="Calibri" w:hAnsi="Times New Roman"/>
          <w:sz w:val="24"/>
          <w:szCs w:val="24"/>
        </w:rPr>
        <w:t xml:space="preserve"> имеющих соответствующие лицензии.</w:t>
      </w:r>
    </w:p>
    <w:p w:rsidR="006277AA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не  превышает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размещения  подготовлен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к действиям в чрезвычайных ситуациях.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имущества,  соблюдены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ab/>
        <w:t>- естественное и искусственное освещение в жилых и общественных помещениях;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6277AA" w:rsidRPr="004C7954" w:rsidRDefault="006277AA" w:rsidP="006277A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4142" w:rsidSect="00397500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0A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AD0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1FB3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0AC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50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551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1680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AA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5CB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09AA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C7B53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1CA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6F40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0D4D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1C44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5224-FDBB-4CED-88BE-6028593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E70AC"/>
    <w:pPr>
      <w:keepNext/>
      <w:suppressAutoHyphens/>
      <w:overflowPunct w:val="0"/>
      <w:autoSpaceDE w:val="0"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70AC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11D1-30C4-4A62-B8F2-E53711A2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Задорожных Наталья Александровна</cp:lastModifiedBy>
  <cp:revision>8</cp:revision>
  <cp:lastPrinted>2022-03-22T08:47:00Z</cp:lastPrinted>
  <dcterms:created xsi:type="dcterms:W3CDTF">2022-05-27T09:04:00Z</dcterms:created>
  <dcterms:modified xsi:type="dcterms:W3CDTF">2022-07-12T07:43:00Z</dcterms:modified>
</cp:coreProperties>
</file>