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F9" w:rsidRPr="000419F1" w:rsidRDefault="002933F9" w:rsidP="00BB1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0FEC" w:rsidRPr="000419F1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D7B" w:rsidRPr="001A4D7B" w:rsidRDefault="000419F1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D7B">
        <w:rPr>
          <w:rFonts w:ascii="Times New Roman" w:eastAsia="Times New Roman" w:hAnsi="Times New Roman" w:cs="Times New Roman"/>
          <w:b/>
          <w:sz w:val="24"/>
          <w:szCs w:val="24"/>
        </w:rPr>
        <w:t>Место выполнения работ:</w:t>
      </w:r>
      <w:r w:rsidRPr="001A4D7B">
        <w:rPr>
          <w:rFonts w:ascii="Times New Roman" w:eastAsia="Times New Roman" w:hAnsi="Times New Roman" w:cs="Times New Roman"/>
          <w:sz w:val="24"/>
          <w:szCs w:val="24"/>
        </w:rPr>
        <w:t xml:space="preserve"> Осуществить снятие </w:t>
      </w:r>
      <w:r w:rsidR="001A4D7B" w:rsidRPr="001A4D7B">
        <w:rPr>
          <w:rFonts w:ascii="Times New Roman" w:eastAsia="Times New Roman" w:hAnsi="Times New Roman" w:cs="Times New Roman"/>
          <w:sz w:val="24"/>
          <w:szCs w:val="24"/>
        </w:rPr>
        <w:t>мерок, примерка и выдача готовых Изделий осуществляется в специализированных помещениях на территории Ханты-Мансийского автономного округа-Югры.</w:t>
      </w:r>
    </w:p>
    <w:p w:rsidR="001A4D7B" w:rsidRP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D7B" w:rsidRPr="001A4D7B" w:rsidRDefault="001A4D7B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D7B">
        <w:rPr>
          <w:rFonts w:ascii="Times New Roman" w:eastAsia="Times New Roman" w:hAnsi="Times New Roman" w:cs="Times New Roman"/>
          <w:b/>
          <w:sz w:val="24"/>
          <w:szCs w:val="24"/>
        </w:rPr>
        <w:t>Сроки выполнения работ:</w:t>
      </w:r>
      <w:r w:rsidRPr="001A4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D7B">
        <w:rPr>
          <w:rFonts w:ascii="Times New Roman" w:eastAsia="Times New Roman" w:hAnsi="Times New Roman" w:cs="Times New Roman"/>
          <w:sz w:val="24"/>
          <w:szCs w:val="24"/>
        </w:rPr>
        <w:t>Выдача готового изделия, соответствующего техническому заданию (Приложение № 1 к Контракту) производится непосредственно Получателю на основании Направления в течение 60 календарных дней с момента получения от Заказчика списков Получателей. Список должен быть исполнен в полном объёме, за исключением случаев невозможности обеспечения по причине смерти Получателя, отказа от получения (Приложение № 4 к Контракту) или других объективных причин. Каждый факт «не обеспечения» должен быть подтвержден документально</w:t>
      </w:r>
      <w:r w:rsidRPr="001A4D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9F1" w:rsidRPr="000419F1" w:rsidRDefault="000419F1" w:rsidP="001A4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FEC" w:rsidRPr="000419F1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b/>
          <w:sz w:val="24"/>
          <w:szCs w:val="24"/>
        </w:rPr>
        <w:t>Наименование, характеристики и количество поставляемых товаров</w:t>
      </w:r>
      <w:r w:rsidRPr="000419F1">
        <w:rPr>
          <w:rFonts w:ascii="Times New Roman" w:eastAsia="Times New Roman" w:hAnsi="Times New Roman" w:cs="Times New Roman"/>
          <w:sz w:val="24"/>
          <w:szCs w:val="24"/>
        </w:rPr>
        <w:t>, объем выполняемых работ, оказываемых услуг:</w:t>
      </w:r>
    </w:p>
    <w:p w:rsidR="00B970E5" w:rsidRPr="000419F1" w:rsidRDefault="00B970E5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1"/>
        <w:gridCol w:w="5902"/>
        <w:gridCol w:w="649"/>
        <w:gridCol w:w="695"/>
      </w:tblGrid>
      <w:tr w:rsidR="000419F1" w:rsidRPr="000419F1" w:rsidTr="000419F1">
        <w:trPr>
          <w:cantSplit/>
          <w:trHeight w:val="345"/>
        </w:trPr>
        <w:tc>
          <w:tcPr>
            <w:tcW w:w="266" w:type="pct"/>
            <w:vMerge w:val="restart"/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>№</w:t>
            </w:r>
          </w:p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1160" w:type="pct"/>
            <w:vMerge w:val="restart"/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</w:pPr>
            <w:proofErr w:type="spellStart"/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2911" w:type="pct"/>
          </w:tcPr>
          <w:p w:rsidR="000419F1" w:rsidRPr="000419F1" w:rsidRDefault="000419F1" w:rsidP="00A67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Описание (характеристики) объекта закупки</w:t>
            </w:r>
          </w:p>
        </w:tc>
        <w:tc>
          <w:tcPr>
            <w:tcW w:w="320" w:type="pct"/>
            <w:vMerge w:val="restart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  <w:t>Ед. изм.</w:t>
            </w:r>
          </w:p>
        </w:tc>
        <w:tc>
          <w:tcPr>
            <w:tcW w:w="344" w:type="pct"/>
            <w:vMerge w:val="restart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</w:pPr>
            <w:r w:rsidRPr="000419F1">
              <w:rPr>
                <w:rFonts w:ascii="Times New Roman" w:eastAsia="Lucida Sans Unicode" w:hAnsi="Times New Roman" w:cs="Tahoma"/>
                <w:color w:val="000000"/>
                <w:kern w:val="1"/>
                <w:sz w:val="24"/>
                <w:szCs w:val="24"/>
                <w:lang w:eastAsia="en-US" w:bidi="en-US"/>
              </w:rPr>
              <w:t>Кол-во</w:t>
            </w:r>
          </w:p>
        </w:tc>
      </w:tr>
      <w:tr w:rsidR="000419F1" w:rsidRPr="000419F1" w:rsidTr="000419F1">
        <w:trPr>
          <w:cantSplit/>
          <w:trHeight w:val="1137"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11" w:type="pct"/>
            <w:tcBorders>
              <w:bottom w:val="single" w:sz="4" w:space="0" w:color="auto"/>
            </w:tcBorders>
            <w:vAlign w:val="center"/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Наименование показателя</w:t>
            </w:r>
          </w:p>
          <w:p w:rsidR="000419F1" w:rsidRPr="000419F1" w:rsidRDefault="000419F1" w:rsidP="00A673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Andale Sans UI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  <w:t>(неизменяемое)</w:t>
            </w:r>
          </w:p>
        </w:tc>
        <w:tc>
          <w:tcPr>
            <w:tcW w:w="320" w:type="pct"/>
            <w:vMerge/>
            <w:tcBorders>
              <w:bottom w:val="single" w:sz="4" w:space="0" w:color="auto"/>
            </w:tcBorders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:rsidR="000419F1" w:rsidRPr="000419F1" w:rsidRDefault="000419F1" w:rsidP="00A673E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419F1" w:rsidRPr="000419F1" w:rsidTr="000419F1">
        <w:trPr>
          <w:trHeight w:val="211"/>
        </w:trPr>
        <w:tc>
          <w:tcPr>
            <w:tcW w:w="266" w:type="pct"/>
          </w:tcPr>
          <w:p w:rsidR="000419F1" w:rsidRPr="000419F1" w:rsidRDefault="000419F1" w:rsidP="00A673E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0419F1" w:rsidRPr="000419F1" w:rsidRDefault="000419F1" w:rsidP="00A67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кисти с микропроцессорным управлением</w:t>
            </w:r>
          </w:p>
        </w:tc>
        <w:tc>
          <w:tcPr>
            <w:tcW w:w="2911" w:type="pct"/>
          </w:tcPr>
          <w:p w:rsidR="000419F1" w:rsidRPr="000419F1" w:rsidRDefault="000419F1" w:rsidP="00A673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состоит из кисти с модулями пальцев и предплечья с электроникой. Кисть состоит: из внутренней гильзы, в которую опционально устанавливаются электроды, внешней гильзы, модулей пальцев, состоящих из </w:t>
            </w:r>
            <w:proofErr w:type="spellStart"/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моторредуктора</w:t>
            </w:r>
            <w:proofErr w:type="spellEnd"/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кинематического механизма, размещенных в корпусе пальца. Предплечье состоит: из внутренней гильзы, в которую опционально устанавливаются электроды, системы питания, АКБ, плата управления питанием, модуль зарядки и включения, внешней гильзы и системы управления. </w:t>
            </w:r>
          </w:p>
          <w:p w:rsidR="000419F1" w:rsidRPr="000419F1" w:rsidRDefault="000419F1" w:rsidP="00A673E6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 модуля пальца электромеханический. Возможность настройки не менее 8 жестов. Без косметической оболочки. Ладонь и пальцы оснащены противоскользящим силиконовыми накладками. Управлением протезом происходит за счёт регистрации на поверхности кожи предплечья </w:t>
            </w:r>
            <w:proofErr w:type="spellStart"/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электромиографического</w:t>
            </w:r>
            <w:proofErr w:type="spellEnd"/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сигнала посредством </w:t>
            </w:r>
            <w:proofErr w:type="spellStart"/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>миодатчиков</w:t>
            </w:r>
            <w:proofErr w:type="spellEnd"/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во внутренней гильзе. Управление скоростью и силой </w:t>
            </w:r>
            <w:proofErr w:type="spellStart"/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041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осуществляться пропорционально силе напряжения мышц культи, что позволяет брать хрупкие предметы. Управление протезом – одно/двухканальное. Источник энергии – несъёмный литий-ионный аккумулятор с защитой от перезаряда. Приемная гильза из мягких смол или силикона. Крепление протеза на культе за счёт ее костной части и объёма мягких тканей. </w:t>
            </w:r>
          </w:p>
        </w:tc>
        <w:tc>
          <w:tcPr>
            <w:tcW w:w="320" w:type="pct"/>
          </w:tcPr>
          <w:p w:rsidR="000419F1" w:rsidRPr="000419F1" w:rsidRDefault="000419F1" w:rsidP="00A673E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44" w:type="pct"/>
          </w:tcPr>
          <w:p w:rsidR="000419F1" w:rsidRPr="000419F1" w:rsidRDefault="000419F1" w:rsidP="00A673E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A4D7B" w:rsidRDefault="001A4D7B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FBC" w:rsidRPr="00E44FBC" w:rsidRDefault="00E44FBC" w:rsidP="00E44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FBC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>Подрядчик гарантирует, что результаты работы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</w:t>
      </w:r>
      <w:bookmarkStart w:id="0" w:name="_GoBack"/>
      <w:bookmarkEnd w:id="0"/>
      <w:r w:rsidRPr="000419F1">
        <w:rPr>
          <w:rFonts w:ascii="Times New Roman" w:eastAsia="Times New Roman" w:hAnsi="Times New Roman" w:cs="Times New Roman"/>
          <w:sz w:val="24"/>
          <w:szCs w:val="24"/>
        </w:rPr>
        <w:t>вании в обычных условиях эксплуатации.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>Комплектующие изделия (полуфабрикаты) и материалы должны быть новыми.</w:t>
      </w:r>
    </w:p>
    <w:p w:rsidR="000419F1" w:rsidRPr="000419F1" w:rsidRDefault="000419F1" w:rsidP="00041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9F1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ГОСТа: ГОСТ ISO 10993-1-2021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0419F1">
        <w:rPr>
          <w:rFonts w:ascii="Times New Roman" w:eastAsia="Times New Roman" w:hAnsi="Times New Roman" w:cs="Times New Roman"/>
          <w:sz w:val="24"/>
          <w:szCs w:val="24"/>
        </w:rPr>
        <w:t>цитотоксичность</w:t>
      </w:r>
      <w:proofErr w:type="spellEnd"/>
      <w:r w:rsidRPr="000419F1">
        <w:rPr>
          <w:rFonts w:ascii="Times New Roman" w:eastAsia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0419F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041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19F1"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 w:rsidRPr="000419F1">
        <w:rPr>
          <w:rFonts w:ascii="Times New Roman" w:eastAsia="Times New Roman" w:hAnsi="Times New Roman" w:cs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ИСО 22523-2007 «Протезы конечностей и </w:t>
      </w:r>
      <w:proofErr w:type="spellStart"/>
      <w:r w:rsidRPr="000419F1">
        <w:rPr>
          <w:rFonts w:ascii="Times New Roman" w:eastAsia="Times New Roman" w:hAnsi="Times New Roman" w:cs="Times New Roman"/>
          <w:sz w:val="24"/>
          <w:szCs w:val="24"/>
        </w:rPr>
        <w:t>ортезы</w:t>
      </w:r>
      <w:proofErr w:type="spellEnd"/>
      <w:r w:rsidRPr="000419F1">
        <w:rPr>
          <w:rFonts w:ascii="Times New Roman" w:eastAsia="Times New Roman" w:hAnsi="Times New Roman" w:cs="Times New Roman"/>
          <w:sz w:val="24"/>
          <w:szCs w:val="24"/>
        </w:rPr>
        <w:t xml:space="preserve"> наружные требования и методы испытаний»</w:t>
      </w:r>
    </w:p>
    <w:p w:rsidR="00342557" w:rsidRPr="000419F1" w:rsidRDefault="00342557" w:rsidP="00646B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</w:p>
    <w:sectPr w:rsidR="00342557" w:rsidRPr="000419F1" w:rsidSect="000419F1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E0" w:rsidRDefault="00DC2FE0" w:rsidP="00C01B2F">
      <w:pPr>
        <w:spacing w:after="0" w:line="240" w:lineRule="auto"/>
      </w:pPr>
      <w:r>
        <w:separator/>
      </w:r>
    </w:p>
  </w:endnote>
  <w:endnote w:type="continuationSeparator" w:id="0">
    <w:p w:rsidR="00DC2FE0" w:rsidRDefault="00DC2FE0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70734"/>
      <w:docPartObj>
        <w:docPartGallery w:val="Page Numbers (Bottom of Page)"/>
        <w:docPartUnique/>
      </w:docPartObj>
    </w:sdtPr>
    <w:sdtEndPr/>
    <w:sdtContent>
      <w:p w:rsidR="00CD22F4" w:rsidRDefault="00CD22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2F4" w:rsidRDefault="00CD2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E0" w:rsidRDefault="00DC2FE0" w:rsidP="00C01B2F">
      <w:pPr>
        <w:spacing w:after="0" w:line="240" w:lineRule="auto"/>
      </w:pPr>
      <w:r>
        <w:separator/>
      </w:r>
    </w:p>
  </w:footnote>
  <w:footnote w:type="continuationSeparator" w:id="0">
    <w:p w:rsidR="00DC2FE0" w:rsidRDefault="00DC2FE0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5452B46"/>
    <w:multiLevelType w:val="multilevel"/>
    <w:tmpl w:val="65200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7"/>
  </w:num>
  <w:num w:numId="6">
    <w:abstractNumId w:val="16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8"/>
  </w:num>
  <w:num w:numId="14">
    <w:abstractNumId w:val="19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0B11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19F1"/>
    <w:rsid w:val="00044666"/>
    <w:rsid w:val="000510DE"/>
    <w:rsid w:val="00051AE2"/>
    <w:rsid w:val="000566AF"/>
    <w:rsid w:val="000636D1"/>
    <w:rsid w:val="00076068"/>
    <w:rsid w:val="00083CFE"/>
    <w:rsid w:val="00087D5E"/>
    <w:rsid w:val="000920D2"/>
    <w:rsid w:val="000A1E57"/>
    <w:rsid w:val="000A2D2D"/>
    <w:rsid w:val="000A2D64"/>
    <w:rsid w:val="000B1202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2EAF"/>
    <w:rsid w:val="00134D9F"/>
    <w:rsid w:val="0013687D"/>
    <w:rsid w:val="00136935"/>
    <w:rsid w:val="00142A39"/>
    <w:rsid w:val="00143569"/>
    <w:rsid w:val="001437A5"/>
    <w:rsid w:val="00145A1F"/>
    <w:rsid w:val="001472CD"/>
    <w:rsid w:val="001505CB"/>
    <w:rsid w:val="00156BF4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4D7B"/>
    <w:rsid w:val="001A6F24"/>
    <w:rsid w:val="001B18BC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4866"/>
    <w:rsid w:val="001F64D6"/>
    <w:rsid w:val="001F6959"/>
    <w:rsid w:val="00201685"/>
    <w:rsid w:val="00202E92"/>
    <w:rsid w:val="0020369F"/>
    <w:rsid w:val="00204195"/>
    <w:rsid w:val="00205120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64FA5"/>
    <w:rsid w:val="00283159"/>
    <w:rsid w:val="00287040"/>
    <w:rsid w:val="002933F9"/>
    <w:rsid w:val="002A58AA"/>
    <w:rsid w:val="002A6935"/>
    <w:rsid w:val="002C2028"/>
    <w:rsid w:val="002C30E0"/>
    <w:rsid w:val="002C4428"/>
    <w:rsid w:val="002E3865"/>
    <w:rsid w:val="002E4FCD"/>
    <w:rsid w:val="002E7F84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B17B8"/>
    <w:rsid w:val="003C2DAE"/>
    <w:rsid w:val="003C35AF"/>
    <w:rsid w:val="003C3EB7"/>
    <w:rsid w:val="003C584B"/>
    <w:rsid w:val="003C6F1A"/>
    <w:rsid w:val="003D051F"/>
    <w:rsid w:val="003D5D7E"/>
    <w:rsid w:val="003D628F"/>
    <w:rsid w:val="003E03D1"/>
    <w:rsid w:val="003E041F"/>
    <w:rsid w:val="003E1ED3"/>
    <w:rsid w:val="003E5258"/>
    <w:rsid w:val="003F6CC8"/>
    <w:rsid w:val="00403E1E"/>
    <w:rsid w:val="00404359"/>
    <w:rsid w:val="00412944"/>
    <w:rsid w:val="00413226"/>
    <w:rsid w:val="00413C20"/>
    <w:rsid w:val="00432A67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30D"/>
    <w:rsid w:val="00473C89"/>
    <w:rsid w:val="0048330D"/>
    <w:rsid w:val="0049721F"/>
    <w:rsid w:val="004A35B2"/>
    <w:rsid w:val="004A436B"/>
    <w:rsid w:val="004B438C"/>
    <w:rsid w:val="004B5BCE"/>
    <w:rsid w:val="004C008B"/>
    <w:rsid w:val="004C41B8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43DBD"/>
    <w:rsid w:val="00550B71"/>
    <w:rsid w:val="0055464E"/>
    <w:rsid w:val="00554DCF"/>
    <w:rsid w:val="00555840"/>
    <w:rsid w:val="00556930"/>
    <w:rsid w:val="005571DD"/>
    <w:rsid w:val="0057224A"/>
    <w:rsid w:val="00583C85"/>
    <w:rsid w:val="005A1701"/>
    <w:rsid w:val="005A1B1A"/>
    <w:rsid w:val="005A1DBA"/>
    <w:rsid w:val="005A6C0E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46B69"/>
    <w:rsid w:val="0065044E"/>
    <w:rsid w:val="00651424"/>
    <w:rsid w:val="006528E9"/>
    <w:rsid w:val="00656705"/>
    <w:rsid w:val="0065683A"/>
    <w:rsid w:val="0065747D"/>
    <w:rsid w:val="0066157A"/>
    <w:rsid w:val="00663C1D"/>
    <w:rsid w:val="00663C91"/>
    <w:rsid w:val="00667A0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52A"/>
    <w:rsid w:val="00723B63"/>
    <w:rsid w:val="007255C4"/>
    <w:rsid w:val="007306C3"/>
    <w:rsid w:val="0073235C"/>
    <w:rsid w:val="00733899"/>
    <w:rsid w:val="007339B3"/>
    <w:rsid w:val="00736374"/>
    <w:rsid w:val="0075475B"/>
    <w:rsid w:val="0075517C"/>
    <w:rsid w:val="0076110D"/>
    <w:rsid w:val="00764B5B"/>
    <w:rsid w:val="00766CCD"/>
    <w:rsid w:val="00776221"/>
    <w:rsid w:val="0078231B"/>
    <w:rsid w:val="00784D89"/>
    <w:rsid w:val="00786AAB"/>
    <w:rsid w:val="007875D9"/>
    <w:rsid w:val="00793208"/>
    <w:rsid w:val="00794C61"/>
    <w:rsid w:val="007A2377"/>
    <w:rsid w:val="007A3006"/>
    <w:rsid w:val="007A4EEE"/>
    <w:rsid w:val="007B2498"/>
    <w:rsid w:val="007C6295"/>
    <w:rsid w:val="007D2E33"/>
    <w:rsid w:val="007D779F"/>
    <w:rsid w:val="007E5EBF"/>
    <w:rsid w:val="007E6DB8"/>
    <w:rsid w:val="007F3F53"/>
    <w:rsid w:val="007F6B55"/>
    <w:rsid w:val="007F6E7D"/>
    <w:rsid w:val="00800796"/>
    <w:rsid w:val="008027CA"/>
    <w:rsid w:val="00806778"/>
    <w:rsid w:val="00807F4A"/>
    <w:rsid w:val="008120CC"/>
    <w:rsid w:val="00822846"/>
    <w:rsid w:val="0082771E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4C0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8F5F18"/>
    <w:rsid w:val="00900EE4"/>
    <w:rsid w:val="0090160A"/>
    <w:rsid w:val="00914DD4"/>
    <w:rsid w:val="00914EC5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77C2B"/>
    <w:rsid w:val="00981758"/>
    <w:rsid w:val="00981833"/>
    <w:rsid w:val="00982519"/>
    <w:rsid w:val="00990FF7"/>
    <w:rsid w:val="0099294A"/>
    <w:rsid w:val="009A02C4"/>
    <w:rsid w:val="009A04C6"/>
    <w:rsid w:val="009A1A45"/>
    <w:rsid w:val="009A57F3"/>
    <w:rsid w:val="009A5C8F"/>
    <w:rsid w:val="009B7AA0"/>
    <w:rsid w:val="009C3ACC"/>
    <w:rsid w:val="009C4658"/>
    <w:rsid w:val="009D128C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B3C"/>
    <w:rsid w:val="00A50EE0"/>
    <w:rsid w:val="00A5573F"/>
    <w:rsid w:val="00A5616E"/>
    <w:rsid w:val="00A6068E"/>
    <w:rsid w:val="00A741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D6FA5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970E5"/>
    <w:rsid w:val="00BA125E"/>
    <w:rsid w:val="00BB10BA"/>
    <w:rsid w:val="00BB4D5B"/>
    <w:rsid w:val="00BB6EF7"/>
    <w:rsid w:val="00BB6F77"/>
    <w:rsid w:val="00BC00C5"/>
    <w:rsid w:val="00BC48F3"/>
    <w:rsid w:val="00BC601D"/>
    <w:rsid w:val="00BD0AEE"/>
    <w:rsid w:val="00BD2054"/>
    <w:rsid w:val="00BD4574"/>
    <w:rsid w:val="00BD7B88"/>
    <w:rsid w:val="00BE10F8"/>
    <w:rsid w:val="00BE1BF8"/>
    <w:rsid w:val="00BE4395"/>
    <w:rsid w:val="00BE69B3"/>
    <w:rsid w:val="00BF3EA8"/>
    <w:rsid w:val="00BF4250"/>
    <w:rsid w:val="00BF45D0"/>
    <w:rsid w:val="00BF56C5"/>
    <w:rsid w:val="00C01A23"/>
    <w:rsid w:val="00C01B2F"/>
    <w:rsid w:val="00C0293B"/>
    <w:rsid w:val="00C10C4B"/>
    <w:rsid w:val="00C1559B"/>
    <w:rsid w:val="00C30007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2A27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16B5"/>
    <w:rsid w:val="00DB2FE8"/>
    <w:rsid w:val="00DB4096"/>
    <w:rsid w:val="00DB4E59"/>
    <w:rsid w:val="00DB5CEA"/>
    <w:rsid w:val="00DB70CB"/>
    <w:rsid w:val="00DC008A"/>
    <w:rsid w:val="00DC058C"/>
    <w:rsid w:val="00DC2FE0"/>
    <w:rsid w:val="00DC376B"/>
    <w:rsid w:val="00DC3C99"/>
    <w:rsid w:val="00DC6AE7"/>
    <w:rsid w:val="00DE4574"/>
    <w:rsid w:val="00DE5162"/>
    <w:rsid w:val="00DE55A9"/>
    <w:rsid w:val="00DF2C49"/>
    <w:rsid w:val="00DF4FC1"/>
    <w:rsid w:val="00E000A7"/>
    <w:rsid w:val="00E01429"/>
    <w:rsid w:val="00E04D41"/>
    <w:rsid w:val="00E0564A"/>
    <w:rsid w:val="00E074CB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44FBC"/>
    <w:rsid w:val="00E5032A"/>
    <w:rsid w:val="00E51F06"/>
    <w:rsid w:val="00E55C57"/>
    <w:rsid w:val="00E5770F"/>
    <w:rsid w:val="00E57F37"/>
    <w:rsid w:val="00E60ECF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05E2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EF4FF3"/>
    <w:rsid w:val="00F0008E"/>
    <w:rsid w:val="00F00699"/>
    <w:rsid w:val="00F172E3"/>
    <w:rsid w:val="00F173FB"/>
    <w:rsid w:val="00F2138A"/>
    <w:rsid w:val="00F21E57"/>
    <w:rsid w:val="00F2381B"/>
    <w:rsid w:val="00F30AE4"/>
    <w:rsid w:val="00F30B1D"/>
    <w:rsid w:val="00F312FE"/>
    <w:rsid w:val="00F3708D"/>
    <w:rsid w:val="00F44324"/>
    <w:rsid w:val="00F4597B"/>
    <w:rsid w:val="00F51A82"/>
    <w:rsid w:val="00F522AD"/>
    <w:rsid w:val="00F57B4C"/>
    <w:rsid w:val="00F60A1A"/>
    <w:rsid w:val="00F60A4A"/>
    <w:rsid w:val="00F60A72"/>
    <w:rsid w:val="00F638C0"/>
    <w:rsid w:val="00F72202"/>
    <w:rsid w:val="00F82B84"/>
    <w:rsid w:val="00F85C9B"/>
    <w:rsid w:val="00F85FFE"/>
    <w:rsid w:val="00F90FEC"/>
    <w:rsid w:val="00F9104A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F87A6-AD3E-45D0-A65E-8BEC46BF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6B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B2F"/>
  </w:style>
  <w:style w:type="paragraph" w:styleId="aa">
    <w:name w:val="footer"/>
    <w:basedOn w:val="a"/>
    <w:link w:val="ab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B2F"/>
  </w:style>
  <w:style w:type="paragraph" w:styleId="ac">
    <w:name w:val="footnote text"/>
    <w:basedOn w:val="a"/>
    <w:link w:val="ad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510D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f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0"/>
    <w:link w:val="af1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rsid w:val="00CB2FF1"/>
    <w:rPr>
      <w:vertAlign w:val="superscript"/>
    </w:rPr>
  </w:style>
  <w:style w:type="paragraph" w:styleId="af0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0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f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E44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ABCF-9EE2-466E-833A-F52C2CE4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Пластинин Максим Михайлович</cp:lastModifiedBy>
  <cp:revision>39</cp:revision>
  <cp:lastPrinted>2022-03-23T06:16:00Z</cp:lastPrinted>
  <dcterms:created xsi:type="dcterms:W3CDTF">2020-10-30T12:22:00Z</dcterms:created>
  <dcterms:modified xsi:type="dcterms:W3CDTF">2023-02-15T07:30:00Z</dcterms:modified>
</cp:coreProperties>
</file>