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90" w:rsidRDefault="00BC7C90" w:rsidP="00F32DB6">
      <w:pPr>
        <w:keepNext/>
        <w:keepLines/>
        <w:ind w:right="-1"/>
        <w:contextualSpacing/>
        <w:jc w:val="center"/>
        <w:outlineLvl w:val="0"/>
        <w:rPr>
          <w:b/>
          <w:kern w:val="28"/>
        </w:rPr>
      </w:pPr>
      <w:r w:rsidRPr="00BC7C90">
        <w:rPr>
          <w:b/>
          <w:kern w:val="28"/>
        </w:rPr>
        <w:t>ОПИСАНИЕ ОБЪЕКТА ЗАКУПКИ</w:t>
      </w:r>
    </w:p>
    <w:p w:rsidR="00F4170C" w:rsidRPr="00BC7C90" w:rsidRDefault="00F4170C" w:rsidP="00F32DB6">
      <w:pPr>
        <w:keepNext/>
        <w:keepLines/>
        <w:ind w:right="-1"/>
        <w:contextualSpacing/>
        <w:jc w:val="center"/>
        <w:outlineLvl w:val="0"/>
        <w:rPr>
          <w:b/>
          <w:kern w:val="28"/>
        </w:rPr>
      </w:pPr>
    </w:p>
    <w:p w:rsidR="00BC7C90" w:rsidRPr="00BC7C90" w:rsidRDefault="00BC7C90" w:rsidP="00F32DB6">
      <w:pPr>
        <w:ind w:right="-1"/>
        <w:jc w:val="center"/>
        <w:rPr>
          <w:b/>
        </w:rPr>
      </w:pPr>
      <w:r w:rsidRPr="00BC7C90">
        <w:rPr>
          <w:b/>
          <w:bCs/>
        </w:rPr>
        <w:t>Выполнение работ по обеспечению застрахованных лиц, пострадавших в результате несчастных случаев на производстве и профессиональных заболеваний, протезами</w:t>
      </w:r>
    </w:p>
    <w:p w:rsidR="00AB6AC1" w:rsidRDefault="00AB6AC1" w:rsidP="00F32DB6">
      <w:pPr>
        <w:ind w:right="-1"/>
        <w:jc w:val="center"/>
        <w:rPr>
          <w:b/>
        </w:rPr>
      </w:pPr>
    </w:p>
    <w:p w:rsidR="00BC7C90" w:rsidRDefault="00BC7C90" w:rsidP="00F32DB6">
      <w:pPr>
        <w:ind w:right="-1"/>
        <w:jc w:val="center"/>
        <w:rPr>
          <w:b/>
        </w:rPr>
      </w:pPr>
      <w:r w:rsidRPr="00BC7C90">
        <w:rPr>
          <w:b/>
        </w:rPr>
        <w:t xml:space="preserve">Требования к качеству, техническим, функциональным характеристикам протезов </w:t>
      </w:r>
      <w:r w:rsidR="006806D1">
        <w:rPr>
          <w:b/>
        </w:rPr>
        <w:t>нижних</w:t>
      </w:r>
      <w:r w:rsidR="00F32DB6">
        <w:rPr>
          <w:b/>
        </w:rPr>
        <w:t xml:space="preserve"> конечностей</w:t>
      </w:r>
    </w:p>
    <w:p w:rsidR="00BC7C90" w:rsidRPr="00BC7C90" w:rsidRDefault="00F32DB6" w:rsidP="00F32DB6">
      <w:pPr>
        <w:ind w:right="-1"/>
        <w:jc w:val="center"/>
        <w:rPr>
          <w:b/>
        </w:rPr>
      </w:pPr>
      <w:r>
        <w:rPr>
          <w:b/>
        </w:rPr>
        <w:t>Требования к качеству работ</w:t>
      </w:r>
    </w:p>
    <w:p w:rsidR="002472A1" w:rsidRPr="002472A1" w:rsidRDefault="002472A1" w:rsidP="00F32DB6">
      <w:pPr>
        <w:ind w:firstLine="567"/>
        <w:jc w:val="both"/>
      </w:pPr>
      <w:r w:rsidRPr="002472A1">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B31978" w:rsidRPr="00495C1A" w:rsidRDefault="00B31978" w:rsidP="00E542F0">
      <w:pPr>
        <w:jc w:val="center"/>
        <w:rPr>
          <w:b/>
        </w:rPr>
      </w:pPr>
      <w:r w:rsidRPr="00495C1A">
        <w:rPr>
          <w:b/>
        </w:rPr>
        <w:t>Требования к техническим и функциональным характеристикам работ</w:t>
      </w:r>
    </w:p>
    <w:p w:rsidR="00BB7D48" w:rsidRPr="00136BCE" w:rsidRDefault="00BB7D48" w:rsidP="00F32DB6">
      <w:pPr>
        <w:ind w:firstLine="567"/>
        <w:jc w:val="both"/>
      </w:pPr>
      <w:r w:rsidRPr="00BB7D48">
        <w:t xml:space="preserve">Выполняемые работы по обеспечению </w:t>
      </w:r>
      <w:r>
        <w:t>застрахованных</w:t>
      </w:r>
      <w:r w:rsidRPr="00495C1A">
        <w:t xml:space="preserve"> лиц, пострадавш</w:t>
      </w:r>
      <w:r>
        <w:t>их в результате несчастных</w:t>
      </w:r>
      <w:r w:rsidRPr="00495C1A">
        <w:t xml:space="preserve"> случа</w:t>
      </w:r>
      <w:r>
        <w:t>ев</w:t>
      </w:r>
      <w:r w:rsidRPr="00495C1A">
        <w:t xml:space="preserve"> на производстве </w:t>
      </w:r>
      <w:r>
        <w:t xml:space="preserve">и профессиональных заболеваний, </w:t>
      </w:r>
      <w:r w:rsidRPr="00495C1A">
        <w:t>протез</w:t>
      </w:r>
      <w:r>
        <w:t>а</w:t>
      </w:r>
      <w:r w:rsidRPr="00495C1A">
        <w:t>м</w:t>
      </w:r>
      <w:r>
        <w:t xml:space="preserve">и </w:t>
      </w:r>
      <w:r w:rsidRPr="00495C1A">
        <w:t>конечност</w:t>
      </w:r>
      <w:r>
        <w:t>ей</w:t>
      </w:r>
      <w:r w:rsidRPr="00495C1A">
        <w:t xml:space="preserve"> </w:t>
      </w:r>
      <w:r w:rsidRPr="00BB7D48">
        <w:t xml:space="preserve">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B31978" w:rsidRPr="00495C1A" w:rsidRDefault="00B31978" w:rsidP="00F32DB6">
      <w:pPr>
        <w:jc w:val="center"/>
        <w:rPr>
          <w:b/>
        </w:rPr>
      </w:pPr>
      <w:r w:rsidRPr="00495C1A">
        <w:rPr>
          <w:b/>
        </w:rPr>
        <w:t>Требования к безопасности работ</w:t>
      </w:r>
    </w:p>
    <w:p w:rsidR="00B31978" w:rsidRPr="00495C1A" w:rsidRDefault="00B31978" w:rsidP="00626A94">
      <w:pPr>
        <w:ind w:firstLine="567"/>
        <w:jc w:val="both"/>
      </w:pPr>
      <w:r w:rsidRPr="00B26F1F">
        <w:t xml:space="preserve">Проведение работ по </w:t>
      </w:r>
      <w:r w:rsidR="004252B0">
        <w:t>обеспечению застрахованных лиц</w:t>
      </w:r>
      <w:r w:rsidRPr="00495C1A">
        <w:t>, пострадавш</w:t>
      </w:r>
      <w:r w:rsidR="004252B0">
        <w:t>их в результате несчастных случаев</w:t>
      </w:r>
      <w:r w:rsidRPr="00495C1A">
        <w:t xml:space="preserve"> на производстве</w:t>
      </w:r>
      <w:r>
        <w:t xml:space="preserve"> </w:t>
      </w:r>
      <w:r w:rsidR="00BB7D48">
        <w:t xml:space="preserve">и </w:t>
      </w:r>
      <w:r w:rsidR="00DA3C86">
        <w:t xml:space="preserve">профессиональных заболеваний, </w:t>
      </w:r>
      <w:r>
        <w:t>протеза</w:t>
      </w:r>
      <w:r w:rsidRPr="00495C1A">
        <w:t>м</w:t>
      </w:r>
      <w:r>
        <w:t>и</w:t>
      </w:r>
      <w:r w:rsidR="004252B0">
        <w:t xml:space="preserve"> </w:t>
      </w:r>
      <w:r w:rsidR="00BB7D48">
        <w:t>нижних</w:t>
      </w:r>
      <w:r w:rsidRPr="00495C1A">
        <w:t xml:space="preserve"> конечност</w:t>
      </w:r>
      <w:r w:rsidR="004252B0">
        <w:t>ей должны</w:t>
      </w:r>
      <w:r w:rsidRPr="00495C1A">
        <w:t xml:space="preserve"> осуществляться в соответствии с требованиями, установленными законодательством Российской Федерации.</w:t>
      </w:r>
    </w:p>
    <w:p w:rsidR="00B31978" w:rsidRPr="00495C1A" w:rsidRDefault="00B31978" w:rsidP="00626A94">
      <w:pPr>
        <w:jc w:val="center"/>
        <w:rPr>
          <w:b/>
        </w:rPr>
      </w:pPr>
      <w:r w:rsidRPr="00495C1A">
        <w:rPr>
          <w:b/>
        </w:rPr>
        <w:t>Требования к результатам работ</w:t>
      </w:r>
    </w:p>
    <w:p w:rsidR="00B31978" w:rsidRPr="00495C1A" w:rsidRDefault="00B31978" w:rsidP="00626A94">
      <w:pPr>
        <w:ind w:firstLine="567"/>
        <w:jc w:val="both"/>
      </w:pPr>
      <w:proofErr w:type="gramStart"/>
      <w:r w:rsidRPr="00495C1A">
        <w:t>Работы по обеспечению застрахованн</w:t>
      </w:r>
      <w:r w:rsidR="004252B0">
        <w:t>ых</w:t>
      </w:r>
      <w:r w:rsidRPr="00495C1A">
        <w:t xml:space="preserve"> лиц, пострадавш</w:t>
      </w:r>
      <w:r w:rsidR="004252B0">
        <w:t>их</w:t>
      </w:r>
      <w:r w:rsidRPr="00495C1A">
        <w:t xml:space="preserve"> в результате несчастн</w:t>
      </w:r>
      <w:r w:rsidR="004252B0">
        <w:t>ых</w:t>
      </w:r>
      <w:r w:rsidRPr="00495C1A">
        <w:t xml:space="preserve"> случа</w:t>
      </w:r>
      <w:r w:rsidR="004252B0">
        <w:t>ев</w:t>
      </w:r>
      <w:r w:rsidRPr="00495C1A">
        <w:t xml:space="preserve"> на производстве </w:t>
      </w:r>
      <w:r w:rsidR="00DA3C86">
        <w:t xml:space="preserve">и </w:t>
      </w:r>
      <w:r w:rsidR="00BB7D48">
        <w:t xml:space="preserve">профессиональных заболеваний, </w:t>
      </w:r>
      <w:r w:rsidRPr="00495C1A">
        <w:t>протез</w:t>
      </w:r>
      <w:r>
        <w:t>ами</w:t>
      </w:r>
      <w:r w:rsidR="004252B0">
        <w:t xml:space="preserve"> </w:t>
      </w:r>
      <w:r w:rsidR="00BB7D48">
        <w:t>нижних</w:t>
      </w:r>
      <w:r w:rsidR="004252B0">
        <w:t xml:space="preserve"> конечностей</w:t>
      </w:r>
      <w:r w:rsidRPr="00495C1A">
        <w:t xml:space="preserve"> следует считать эффективно исполненным, если у застрахованного лица, пострадавшего в результате несчастного случая на производстве </w:t>
      </w:r>
      <w:r w:rsidR="00BB7D48">
        <w:t>профессионального заболевания,</w:t>
      </w:r>
      <w:r w:rsidR="00BB7D48" w:rsidRPr="00495C1A">
        <w:t xml:space="preserve"> </w:t>
      </w:r>
      <w:r w:rsidRPr="00495C1A">
        <w:t>восстановлена опорная и двигательная функции</w:t>
      </w:r>
      <w:r w:rsidR="00E052C3">
        <w:t xml:space="preserve"> конечности</w:t>
      </w:r>
      <w:r w:rsidRPr="00495C1A">
        <w:t>, созданы условия для предупреждения развития деформации или благоприятного течения болезни.</w:t>
      </w:r>
      <w:proofErr w:type="gramEnd"/>
      <w:r w:rsidRPr="00495C1A">
        <w:t xml:space="preserve"> Работы по </w:t>
      </w:r>
      <w:r w:rsidR="004252B0">
        <w:t>обеспечению застрахованных лиц, пострадавших</w:t>
      </w:r>
      <w:r w:rsidRPr="00495C1A">
        <w:t xml:space="preserve"> в результате несчастн</w:t>
      </w:r>
      <w:r w:rsidR="004252B0">
        <w:t>ых</w:t>
      </w:r>
      <w:r w:rsidRPr="00495C1A">
        <w:t xml:space="preserve"> случа</w:t>
      </w:r>
      <w:r w:rsidR="004252B0">
        <w:t>ев</w:t>
      </w:r>
      <w:r w:rsidRPr="00495C1A">
        <w:t xml:space="preserve"> на производстве </w:t>
      </w:r>
      <w:r w:rsidR="00BB7D48">
        <w:t xml:space="preserve">профессиональных заболеваний, </w:t>
      </w:r>
      <w:r w:rsidRPr="00495C1A">
        <w:t>протез</w:t>
      </w:r>
      <w:r>
        <w:t>ами</w:t>
      </w:r>
      <w:r w:rsidRPr="00495C1A">
        <w:t xml:space="preserve"> должны быть выполнены с надлежащим качеством и в установленные сроки.</w:t>
      </w:r>
    </w:p>
    <w:p w:rsidR="00B31978" w:rsidRPr="00495C1A" w:rsidRDefault="00B31978" w:rsidP="00626A94">
      <w:pPr>
        <w:jc w:val="center"/>
        <w:rPr>
          <w:b/>
        </w:rPr>
      </w:pPr>
      <w:r w:rsidRPr="00495C1A">
        <w:rPr>
          <w:b/>
        </w:rPr>
        <w:t>Требования к размерам, упаковке и отгруз</w:t>
      </w:r>
      <w:r w:rsidR="00AB6AC1">
        <w:rPr>
          <w:b/>
        </w:rPr>
        <w:t>ке изделий</w:t>
      </w:r>
    </w:p>
    <w:p w:rsidR="00B31978" w:rsidRPr="00495C1A" w:rsidRDefault="004252B0" w:rsidP="00626A94">
      <w:pPr>
        <w:ind w:firstLine="567"/>
        <w:jc w:val="both"/>
      </w:pPr>
      <w:r>
        <w:t xml:space="preserve">Упаковка </w:t>
      </w:r>
      <w:r w:rsidR="00B31978" w:rsidRPr="00495C1A">
        <w:t>протез</w:t>
      </w:r>
      <w:r>
        <w:t>ов</w:t>
      </w:r>
      <w:r w:rsidR="002472A1">
        <w:t xml:space="preserve"> </w:t>
      </w:r>
      <w:r w:rsidR="006806D1">
        <w:t>нижних</w:t>
      </w:r>
      <w:r w:rsidR="00B31978" w:rsidRPr="00495C1A">
        <w:t xml:space="preserve"> конечностей должна обеспечивать защиту от повреждений, порчи (изнашивания) или загрязнения во время хранения и транспортировки к месту </w:t>
      </w:r>
      <w:r>
        <w:t xml:space="preserve">использования  по назначению. </w:t>
      </w:r>
    </w:p>
    <w:p w:rsidR="00B31978" w:rsidRPr="00495C1A" w:rsidRDefault="00B31978" w:rsidP="00626A94">
      <w:pPr>
        <w:widowControl w:val="0"/>
        <w:jc w:val="center"/>
        <w:rPr>
          <w:b/>
        </w:rPr>
      </w:pPr>
      <w:r w:rsidRPr="00495C1A">
        <w:rPr>
          <w:b/>
        </w:rPr>
        <w:t>Требования к срокам и (или) объему предоставления гарантии качества работ</w:t>
      </w:r>
    </w:p>
    <w:p w:rsidR="00B31978" w:rsidRPr="00495C1A" w:rsidRDefault="00B31978" w:rsidP="00626A94">
      <w:pPr>
        <w:widowControl w:val="0"/>
        <w:ind w:firstLine="567"/>
        <w:jc w:val="both"/>
      </w:pPr>
      <w:r w:rsidRPr="00495C1A">
        <w:t>Гарантийный срок на протез</w:t>
      </w:r>
      <w:r w:rsidR="004252B0">
        <w:t>ы устанавливаю</w:t>
      </w:r>
      <w:r w:rsidRPr="00495C1A">
        <w:t>тся со дня выдачи готового изделия в эксплуатацию, а именно в течение этого срока предприятие-изготовитель производит замену или ремонт изделия бесплатно.</w:t>
      </w:r>
    </w:p>
    <w:p w:rsidR="00B31978" w:rsidRPr="00495C1A" w:rsidRDefault="00B31978" w:rsidP="00626A94">
      <w:pPr>
        <w:jc w:val="center"/>
        <w:rPr>
          <w:b/>
        </w:rPr>
      </w:pPr>
      <w:r w:rsidRPr="00495C1A">
        <w:rPr>
          <w:b/>
        </w:rPr>
        <w:t>Место, условия и сроки (периоды) выполнения работ</w:t>
      </w:r>
    </w:p>
    <w:p w:rsidR="00B31978" w:rsidRPr="00495C1A" w:rsidRDefault="00B31978" w:rsidP="00626A94">
      <w:pPr>
        <w:ind w:firstLine="567"/>
        <w:jc w:val="both"/>
      </w:pPr>
      <w:r w:rsidRPr="00495C1A">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p>
    <w:p w:rsidR="003E226D" w:rsidRPr="00470646" w:rsidRDefault="003E226D" w:rsidP="00626A94">
      <w:pPr>
        <w:ind w:firstLine="567"/>
        <w:jc w:val="both"/>
      </w:pPr>
      <w:r w:rsidRPr="00470646">
        <w:t xml:space="preserve">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w:t>
      </w:r>
      <w:r w:rsidRPr="00470646">
        <w:lastRenderedPageBreak/>
        <w:t xml:space="preserve">Прием, обслуживание, обучение пользованию и выдача протезно-ортопедических изделий осуществляется в стационарных пунктах, организованных в соответствии с приказом Министерства труда и социальной защиты РФ от 30  июля 2015 года №527, в пределах административных границ субъекта Российской Федерации (Ростовская область). </w:t>
      </w:r>
    </w:p>
    <w:p w:rsidR="00B31978" w:rsidRDefault="00B31978" w:rsidP="00626A94">
      <w:pPr>
        <w:ind w:firstLine="567"/>
        <w:jc w:val="both"/>
        <w:rPr>
          <w:b/>
        </w:rPr>
      </w:pPr>
      <w:r w:rsidRPr="00470646">
        <w:t xml:space="preserve">Изготовление и выдача Получателю готового Изделия осуществляется в срок </w:t>
      </w:r>
      <w:r w:rsidRPr="00470646">
        <w:rPr>
          <w:b/>
        </w:rPr>
        <w:t>не более 60 календарных дней</w:t>
      </w:r>
      <w:r w:rsidRPr="00470646">
        <w:t xml:space="preserve"> с момента получения Направления Получателя,</w:t>
      </w:r>
      <w:r w:rsidR="00380A14" w:rsidRPr="00470646">
        <w:t xml:space="preserve"> выданного филиалом Заказчика,</w:t>
      </w:r>
      <w:r w:rsidRPr="00470646">
        <w:t xml:space="preserve"> но не позднее</w:t>
      </w:r>
      <w:r w:rsidRPr="0009271B">
        <w:t xml:space="preserve"> </w:t>
      </w:r>
      <w:r w:rsidR="00E052C3" w:rsidRPr="0009271B">
        <w:rPr>
          <w:b/>
        </w:rPr>
        <w:t>2</w:t>
      </w:r>
      <w:r w:rsidR="009A607D">
        <w:rPr>
          <w:b/>
        </w:rPr>
        <w:t>1</w:t>
      </w:r>
      <w:r w:rsidRPr="0009271B">
        <w:rPr>
          <w:b/>
        </w:rPr>
        <w:t>.</w:t>
      </w:r>
      <w:r w:rsidR="00271451" w:rsidRPr="0009271B">
        <w:rPr>
          <w:b/>
        </w:rPr>
        <w:t>12</w:t>
      </w:r>
      <w:r w:rsidRPr="0009271B">
        <w:rPr>
          <w:b/>
        </w:rPr>
        <w:t>.202</w:t>
      </w:r>
      <w:r w:rsidR="009A607D">
        <w:rPr>
          <w:b/>
        </w:rPr>
        <w:t>3</w:t>
      </w:r>
      <w:r w:rsidRPr="0009271B">
        <w:rPr>
          <w:b/>
        </w:rPr>
        <w:t xml:space="preserve"> года.</w:t>
      </w:r>
    </w:p>
    <w:p w:rsidR="00906379" w:rsidRDefault="00906379" w:rsidP="00626A94">
      <w:pPr>
        <w:ind w:firstLine="567"/>
        <w:jc w:val="both"/>
        <w:rPr>
          <w:b/>
        </w:rPr>
      </w:pPr>
    </w:p>
    <w:tbl>
      <w:tblPr>
        <w:tblW w:w="5235" w:type="pct"/>
        <w:jc w:val="center"/>
        <w:tblInd w:w="-652" w:type="dxa"/>
        <w:tblLayout w:type="fixed"/>
        <w:tblLook w:val="04A0" w:firstRow="1" w:lastRow="0" w:firstColumn="1" w:lastColumn="0" w:noHBand="0" w:noVBand="1"/>
      </w:tblPr>
      <w:tblGrid>
        <w:gridCol w:w="584"/>
        <w:gridCol w:w="1496"/>
        <w:gridCol w:w="6446"/>
        <w:gridCol w:w="896"/>
        <w:gridCol w:w="1191"/>
      </w:tblGrid>
      <w:tr w:rsidR="00C16C3E" w:rsidRPr="00C16C3E" w:rsidTr="008762DB">
        <w:trPr>
          <w:jc w:val="center"/>
        </w:trPr>
        <w:tc>
          <w:tcPr>
            <w:tcW w:w="275" w:type="pct"/>
            <w:tcBorders>
              <w:top w:val="single" w:sz="4" w:space="0" w:color="000000"/>
              <w:left w:val="single" w:sz="4" w:space="0" w:color="000000"/>
              <w:bottom w:val="single" w:sz="4" w:space="0" w:color="auto"/>
              <w:right w:val="nil"/>
            </w:tcBorders>
            <w:shd w:val="clear" w:color="auto" w:fill="auto"/>
          </w:tcPr>
          <w:p w:rsidR="00920B0F" w:rsidRPr="00C16C3E" w:rsidRDefault="00920B0F" w:rsidP="00C56955">
            <w:pPr>
              <w:suppressAutoHyphens/>
              <w:jc w:val="center"/>
              <w:rPr>
                <w:sz w:val="20"/>
                <w:szCs w:val="20"/>
                <w:lang w:eastAsia="ar-SA"/>
              </w:rPr>
            </w:pPr>
            <w:r w:rsidRPr="00C16C3E">
              <w:rPr>
                <w:sz w:val="20"/>
                <w:szCs w:val="20"/>
                <w:lang w:eastAsia="ar-SA"/>
              </w:rPr>
              <w:t>№</w:t>
            </w:r>
          </w:p>
        </w:tc>
        <w:tc>
          <w:tcPr>
            <w:tcW w:w="705" w:type="pct"/>
            <w:tcBorders>
              <w:top w:val="single" w:sz="4" w:space="0" w:color="000000"/>
              <w:left w:val="single" w:sz="4" w:space="0" w:color="000000"/>
              <w:bottom w:val="single" w:sz="4" w:space="0" w:color="auto"/>
              <w:right w:val="nil"/>
            </w:tcBorders>
            <w:shd w:val="clear" w:color="auto" w:fill="auto"/>
            <w:hideMark/>
          </w:tcPr>
          <w:p w:rsidR="00920B0F" w:rsidRPr="00C16C3E" w:rsidRDefault="00920B0F" w:rsidP="00C56955">
            <w:pPr>
              <w:suppressAutoHyphens/>
              <w:jc w:val="center"/>
              <w:rPr>
                <w:sz w:val="20"/>
                <w:szCs w:val="20"/>
                <w:lang w:eastAsia="ar-SA"/>
              </w:rPr>
            </w:pPr>
            <w:r w:rsidRPr="00C16C3E">
              <w:rPr>
                <w:sz w:val="20"/>
                <w:szCs w:val="20"/>
                <w:lang w:eastAsia="ar-SA"/>
              </w:rPr>
              <w:t>Наименование изделия</w:t>
            </w:r>
          </w:p>
        </w:tc>
        <w:tc>
          <w:tcPr>
            <w:tcW w:w="3037" w:type="pct"/>
            <w:tcBorders>
              <w:top w:val="single" w:sz="4" w:space="0" w:color="000000"/>
              <w:left w:val="single" w:sz="4" w:space="0" w:color="000000"/>
              <w:bottom w:val="single" w:sz="4" w:space="0" w:color="auto"/>
              <w:right w:val="nil"/>
            </w:tcBorders>
            <w:shd w:val="clear" w:color="auto" w:fill="auto"/>
            <w:hideMark/>
          </w:tcPr>
          <w:p w:rsidR="00920B0F" w:rsidRPr="00C16C3E" w:rsidRDefault="00920B0F" w:rsidP="008E71B9">
            <w:pPr>
              <w:suppressAutoHyphens/>
              <w:snapToGrid w:val="0"/>
              <w:jc w:val="center"/>
              <w:rPr>
                <w:rFonts w:eastAsia="Lucida Sans Unicode"/>
                <w:kern w:val="2"/>
                <w:sz w:val="20"/>
                <w:szCs w:val="20"/>
                <w:lang w:eastAsia="ar-SA"/>
              </w:rPr>
            </w:pPr>
            <w:r w:rsidRPr="00C16C3E">
              <w:rPr>
                <w:sz w:val="20"/>
                <w:szCs w:val="20"/>
                <w:lang w:eastAsia="ar-SA"/>
              </w:rPr>
              <w:t>Функциональные</w:t>
            </w:r>
          </w:p>
          <w:p w:rsidR="00920B0F" w:rsidRPr="00C16C3E" w:rsidRDefault="00920B0F" w:rsidP="008E71B9">
            <w:pPr>
              <w:suppressAutoHyphens/>
              <w:snapToGrid w:val="0"/>
              <w:jc w:val="center"/>
              <w:rPr>
                <w:sz w:val="20"/>
                <w:szCs w:val="20"/>
                <w:lang w:eastAsia="ar-SA"/>
              </w:rPr>
            </w:pPr>
            <w:r w:rsidRPr="00C16C3E">
              <w:rPr>
                <w:sz w:val="20"/>
                <w:szCs w:val="20"/>
                <w:lang w:eastAsia="ar-SA"/>
              </w:rPr>
              <w:t>характеристики</w:t>
            </w:r>
          </w:p>
          <w:p w:rsidR="00920B0F" w:rsidRPr="00C16C3E" w:rsidRDefault="00920B0F" w:rsidP="008E71B9">
            <w:pPr>
              <w:suppressAutoHyphens/>
              <w:snapToGrid w:val="0"/>
              <w:jc w:val="center"/>
              <w:rPr>
                <w:rFonts w:eastAsia="Lucida Sans Unicode"/>
                <w:kern w:val="2"/>
                <w:sz w:val="20"/>
                <w:szCs w:val="20"/>
                <w:lang w:eastAsia="ar-SA"/>
              </w:rPr>
            </w:pPr>
            <w:r w:rsidRPr="00C16C3E">
              <w:rPr>
                <w:sz w:val="20"/>
                <w:szCs w:val="20"/>
                <w:lang w:eastAsia="ar-SA"/>
              </w:rPr>
              <w:t>изделия</w:t>
            </w:r>
          </w:p>
        </w:tc>
        <w:tc>
          <w:tcPr>
            <w:tcW w:w="422" w:type="pct"/>
            <w:tcBorders>
              <w:top w:val="single" w:sz="4" w:space="0" w:color="000000"/>
              <w:left w:val="single" w:sz="4" w:space="0" w:color="000000"/>
              <w:bottom w:val="single" w:sz="4" w:space="0" w:color="000000"/>
              <w:right w:val="nil"/>
            </w:tcBorders>
            <w:shd w:val="clear" w:color="auto" w:fill="auto"/>
            <w:hideMark/>
          </w:tcPr>
          <w:p w:rsidR="00920B0F" w:rsidRPr="00C16C3E" w:rsidRDefault="00920B0F" w:rsidP="00C56955">
            <w:pPr>
              <w:suppressAutoHyphens/>
              <w:snapToGrid w:val="0"/>
              <w:jc w:val="center"/>
              <w:rPr>
                <w:rFonts w:eastAsia="Lucida Sans Unicode"/>
                <w:kern w:val="2"/>
                <w:sz w:val="20"/>
                <w:szCs w:val="20"/>
                <w:lang w:eastAsia="ar-SA"/>
              </w:rPr>
            </w:pPr>
            <w:r w:rsidRPr="00C16C3E">
              <w:rPr>
                <w:sz w:val="20"/>
                <w:szCs w:val="20"/>
                <w:lang w:eastAsia="ar-SA"/>
              </w:rPr>
              <w:t>Коли</w:t>
            </w:r>
            <w:r w:rsidRPr="00C16C3E">
              <w:rPr>
                <w:rFonts w:eastAsia="Lucida Sans Unicode"/>
                <w:kern w:val="2"/>
                <w:sz w:val="20"/>
                <w:szCs w:val="20"/>
                <w:lang w:eastAsia="ar-SA"/>
              </w:rPr>
              <w:t>ч</w:t>
            </w:r>
            <w:r w:rsidRPr="00C16C3E">
              <w:rPr>
                <w:sz w:val="20"/>
                <w:szCs w:val="20"/>
                <w:lang w:eastAsia="ar-SA"/>
              </w:rPr>
              <w:t>ество (шт.)</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920B0F" w:rsidRPr="00C16C3E" w:rsidRDefault="00920B0F" w:rsidP="00C56955">
            <w:pPr>
              <w:suppressAutoHyphens/>
              <w:snapToGrid w:val="0"/>
              <w:jc w:val="center"/>
              <w:rPr>
                <w:rFonts w:eastAsia="Lucida Sans Unicode"/>
                <w:kern w:val="2"/>
                <w:sz w:val="20"/>
                <w:szCs w:val="20"/>
                <w:lang w:eastAsia="ar-SA"/>
              </w:rPr>
            </w:pPr>
            <w:r w:rsidRPr="00C16C3E">
              <w:rPr>
                <w:sz w:val="20"/>
                <w:szCs w:val="20"/>
                <w:lang w:eastAsia="ar-SA"/>
              </w:rPr>
              <w:t>Срок</w:t>
            </w:r>
          </w:p>
          <w:p w:rsidR="00920B0F" w:rsidRPr="00C16C3E" w:rsidRDefault="00920B0F" w:rsidP="00C56955">
            <w:pPr>
              <w:suppressAutoHyphens/>
              <w:snapToGrid w:val="0"/>
              <w:jc w:val="center"/>
              <w:rPr>
                <w:sz w:val="20"/>
                <w:szCs w:val="20"/>
                <w:lang w:eastAsia="ar-SA"/>
              </w:rPr>
            </w:pPr>
            <w:r w:rsidRPr="00C16C3E">
              <w:rPr>
                <w:sz w:val="20"/>
                <w:szCs w:val="20"/>
                <w:lang w:eastAsia="ar-SA"/>
              </w:rPr>
              <w:t>гарантии</w:t>
            </w:r>
          </w:p>
          <w:p w:rsidR="00920B0F" w:rsidRPr="00C16C3E" w:rsidRDefault="00920B0F" w:rsidP="00C56955">
            <w:pPr>
              <w:suppressAutoHyphens/>
              <w:snapToGrid w:val="0"/>
              <w:jc w:val="center"/>
              <w:rPr>
                <w:rFonts w:eastAsia="Lucida Sans Unicode"/>
                <w:kern w:val="2"/>
                <w:sz w:val="20"/>
                <w:szCs w:val="20"/>
                <w:lang w:eastAsia="ar-SA"/>
              </w:rPr>
            </w:pPr>
            <w:r w:rsidRPr="00C16C3E">
              <w:rPr>
                <w:sz w:val="20"/>
                <w:szCs w:val="20"/>
                <w:lang w:eastAsia="ar-SA"/>
              </w:rPr>
              <w:t>(месяцев)</w:t>
            </w:r>
          </w:p>
        </w:tc>
      </w:tr>
      <w:tr w:rsidR="00C16C3E" w:rsidRPr="00C16C3E" w:rsidTr="008762DB">
        <w:trPr>
          <w:trHeight w:val="3366"/>
          <w:jc w:val="center"/>
        </w:trPr>
        <w:tc>
          <w:tcPr>
            <w:tcW w:w="275" w:type="pct"/>
            <w:tcBorders>
              <w:top w:val="single" w:sz="4" w:space="0" w:color="000000"/>
              <w:left w:val="single" w:sz="4" w:space="0" w:color="000000"/>
              <w:bottom w:val="single" w:sz="4" w:space="0" w:color="auto"/>
              <w:right w:val="nil"/>
            </w:tcBorders>
            <w:shd w:val="clear" w:color="auto" w:fill="auto"/>
          </w:tcPr>
          <w:p w:rsidR="007442B3" w:rsidRPr="00C16C3E" w:rsidRDefault="00664C93" w:rsidP="00C56955">
            <w:pPr>
              <w:suppressAutoHyphens/>
              <w:jc w:val="center"/>
              <w:rPr>
                <w:sz w:val="20"/>
                <w:szCs w:val="20"/>
                <w:lang w:eastAsia="ar-SA"/>
              </w:rPr>
            </w:pPr>
            <w:r w:rsidRPr="00C16C3E">
              <w:rPr>
                <w:sz w:val="20"/>
                <w:szCs w:val="20"/>
                <w:lang w:eastAsia="ar-SA"/>
              </w:rPr>
              <w:t>1</w:t>
            </w:r>
          </w:p>
        </w:tc>
        <w:tc>
          <w:tcPr>
            <w:tcW w:w="705" w:type="pct"/>
            <w:tcBorders>
              <w:top w:val="single" w:sz="4" w:space="0" w:color="000000"/>
              <w:left w:val="single" w:sz="4" w:space="0" w:color="000000"/>
              <w:bottom w:val="single" w:sz="4" w:space="0" w:color="auto"/>
              <w:right w:val="nil"/>
            </w:tcBorders>
            <w:shd w:val="clear" w:color="auto" w:fill="auto"/>
            <w:hideMark/>
          </w:tcPr>
          <w:p w:rsidR="007442B3" w:rsidRPr="00C16C3E" w:rsidRDefault="007442B3" w:rsidP="00C56955">
            <w:pPr>
              <w:suppressAutoHyphens/>
              <w:jc w:val="center"/>
              <w:rPr>
                <w:sz w:val="20"/>
                <w:szCs w:val="20"/>
                <w:lang w:eastAsia="ar-SA"/>
              </w:rPr>
            </w:pPr>
            <w:r w:rsidRPr="00C16C3E">
              <w:rPr>
                <w:sz w:val="20"/>
                <w:szCs w:val="20"/>
                <w:lang w:eastAsia="ar-SA"/>
              </w:rPr>
              <w:t>Протез голени модульный, в том числе при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7442B3" w:rsidRPr="00C16C3E" w:rsidRDefault="007442B3" w:rsidP="008E71B9">
            <w:pPr>
              <w:suppressAutoHyphens/>
              <w:snapToGrid w:val="0"/>
              <w:jc w:val="both"/>
              <w:rPr>
                <w:sz w:val="20"/>
                <w:szCs w:val="20"/>
                <w:lang w:eastAsia="ar-SA"/>
              </w:rPr>
            </w:pPr>
            <w:r w:rsidRPr="00C16C3E">
              <w:rPr>
                <w:sz w:val="20"/>
                <w:szCs w:val="20"/>
              </w:rPr>
              <w:t xml:space="preserve">Протез голени модульный, в том числе при недоразвитии, должен быть без силиконового чехла.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C16C3E">
              <w:rPr>
                <w:sz w:val="20"/>
                <w:szCs w:val="20"/>
              </w:rPr>
              <w:t>перлоновые</w:t>
            </w:r>
            <w:proofErr w:type="spellEnd"/>
            <w:r w:rsidRPr="00C16C3E">
              <w:rPr>
                <w:sz w:val="20"/>
                <w:szCs w:val="20"/>
              </w:rPr>
              <w:t>. Приёмная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с использованием гильзы (манжеты с шинами) бедра, кожаных полуфабрикатов или наколенника. 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любой, по назначению.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7442B3" w:rsidRPr="00C16C3E" w:rsidRDefault="008E71B9" w:rsidP="00C56955">
            <w:pPr>
              <w:suppressAutoHyphens/>
              <w:snapToGrid w:val="0"/>
              <w:jc w:val="center"/>
              <w:rPr>
                <w:sz w:val="20"/>
                <w:szCs w:val="20"/>
                <w:lang w:eastAsia="ar-SA"/>
              </w:rPr>
            </w:pPr>
            <w:r w:rsidRPr="00C16C3E">
              <w:rPr>
                <w:sz w:val="20"/>
                <w:szCs w:val="20"/>
                <w:lang w:eastAsia="ar-SA"/>
              </w:rPr>
              <w:t>34</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7442B3" w:rsidRPr="00C16C3E" w:rsidRDefault="00DE4610" w:rsidP="00C56955">
            <w:pPr>
              <w:suppressAutoHyphens/>
              <w:snapToGrid w:val="0"/>
              <w:jc w:val="center"/>
              <w:rPr>
                <w:sz w:val="20"/>
                <w:szCs w:val="20"/>
                <w:lang w:eastAsia="ar-SA"/>
              </w:rPr>
            </w:pPr>
            <w:r>
              <w:rPr>
                <w:sz w:val="20"/>
                <w:szCs w:val="20"/>
                <w:lang w:eastAsia="ar-SA"/>
              </w:rPr>
              <w:t>Не менее 12</w:t>
            </w:r>
          </w:p>
        </w:tc>
      </w:tr>
      <w:tr w:rsidR="00C16C3E" w:rsidRPr="00C16C3E" w:rsidTr="008762DB">
        <w:trPr>
          <w:trHeight w:val="3386"/>
          <w:jc w:val="center"/>
        </w:trPr>
        <w:tc>
          <w:tcPr>
            <w:tcW w:w="275" w:type="pct"/>
            <w:tcBorders>
              <w:top w:val="single" w:sz="4" w:space="0" w:color="000000"/>
              <w:left w:val="single" w:sz="4" w:space="0" w:color="000000"/>
              <w:bottom w:val="single" w:sz="4" w:space="0" w:color="auto"/>
              <w:right w:val="nil"/>
            </w:tcBorders>
            <w:shd w:val="clear" w:color="auto" w:fill="auto"/>
          </w:tcPr>
          <w:p w:rsidR="007442B3" w:rsidRPr="00C16C3E" w:rsidRDefault="00664C93" w:rsidP="00C56955">
            <w:pPr>
              <w:suppressAutoHyphens/>
              <w:jc w:val="center"/>
              <w:rPr>
                <w:sz w:val="20"/>
                <w:szCs w:val="20"/>
                <w:lang w:eastAsia="ar-SA"/>
              </w:rPr>
            </w:pPr>
            <w:r w:rsidRPr="00C16C3E">
              <w:rPr>
                <w:sz w:val="20"/>
                <w:szCs w:val="20"/>
                <w:lang w:eastAsia="ar-SA"/>
              </w:rPr>
              <w:t>2</w:t>
            </w:r>
          </w:p>
        </w:tc>
        <w:tc>
          <w:tcPr>
            <w:tcW w:w="705" w:type="pct"/>
            <w:tcBorders>
              <w:top w:val="single" w:sz="4" w:space="0" w:color="000000"/>
              <w:left w:val="single" w:sz="4" w:space="0" w:color="000000"/>
              <w:bottom w:val="single" w:sz="4" w:space="0" w:color="auto"/>
              <w:right w:val="nil"/>
            </w:tcBorders>
            <w:shd w:val="clear" w:color="auto" w:fill="auto"/>
            <w:hideMark/>
          </w:tcPr>
          <w:p w:rsidR="007442B3" w:rsidRPr="00C16C3E" w:rsidRDefault="007442B3" w:rsidP="00C56955">
            <w:pPr>
              <w:suppressAutoHyphens/>
              <w:jc w:val="center"/>
              <w:rPr>
                <w:sz w:val="20"/>
                <w:szCs w:val="20"/>
                <w:lang w:eastAsia="ar-SA"/>
              </w:rPr>
            </w:pPr>
            <w:r w:rsidRPr="00C16C3E">
              <w:rPr>
                <w:sz w:val="20"/>
                <w:szCs w:val="20"/>
                <w:lang w:eastAsia="ar-SA"/>
              </w:rPr>
              <w:t>Протез голени модульный, в том числе при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7442B3" w:rsidRPr="00C16C3E" w:rsidRDefault="007442B3" w:rsidP="000B73F9">
            <w:pPr>
              <w:jc w:val="both"/>
              <w:rPr>
                <w:sz w:val="20"/>
                <w:szCs w:val="20"/>
                <w:lang w:eastAsia="ar-SA"/>
              </w:rPr>
            </w:pPr>
            <w:r w:rsidRPr="00C16C3E">
              <w:rPr>
                <w:sz w:val="20"/>
                <w:szCs w:val="20"/>
                <w:lang w:eastAsia="ar-SA"/>
              </w:rPr>
              <w:t>Протез голени модульный, в том числе при недоразвитии</w:t>
            </w:r>
            <w:r w:rsidRPr="00C16C3E">
              <w:rPr>
                <w:sz w:val="20"/>
                <w:szCs w:val="20"/>
              </w:rPr>
              <w:t xml:space="preserve">,   на короткую и среднюю культю, должен быть с силиконовым чехлом. Формообразующая часть косметической облицовки должна быть листовой поролон. Косметическое покрытие облицовки должно быть чулки ортопедические </w:t>
            </w:r>
            <w:proofErr w:type="spellStart"/>
            <w:r w:rsidRPr="00C16C3E">
              <w:rPr>
                <w:sz w:val="20"/>
                <w:szCs w:val="20"/>
              </w:rPr>
              <w:t>перлоновые</w:t>
            </w:r>
            <w:proofErr w:type="spellEnd"/>
            <w:r w:rsidRPr="00C16C3E">
              <w:rPr>
                <w:sz w:val="20"/>
                <w:szCs w:val="20"/>
              </w:rPr>
              <w:t xml:space="preserve">. Приемная гильза должна быть индивидуальная (одна пробная гильза).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гелиевые, крепление должно быть с использованием замка или </w:t>
            </w:r>
            <w:r w:rsidRPr="00C16C3E">
              <w:rPr>
                <w:sz w:val="20"/>
                <w:szCs w:val="20"/>
                <w:lang w:eastAsia="ar-SA"/>
              </w:rPr>
              <w:t>вакуумной</w:t>
            </w:r>
            <w:r w:rsidRPr="00C16C3E">
              <w:rPr>
                <w:sz w:val="20"/>
                <w:szCs w:val="20"/>
              </w:rPr>
              <w:t xml:space="preserve"> мембраны. Регулировочно-соединительные устройства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Тип протеза: постоянный, для инвалида с высокой степенью активности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7442B3" w:rsidRPr="00C16C3E" w:rsidRDefault="008E71B9" w:rsidP="00C56955">
            <w:pPr>
              <w:suppressAutoHyphens/>
              <w:snapToGrid w:val="0"/>
              <w:jc w:val="center"/>
              <w:rPr>
                <w:sz w:val="20"/>
                <w:szCs w:val="20"/>
                <w:lang w:eastAsia="ar-SA"/>
              </w:rPr>
            </w:pPr>
            <w:r w:rsidRPr="00C16C3E">
              <w:rPr>
                <w:sz w:val="20"/>
                <w:szCs w:val="20"/>
                <w:lang w:eastAsia="ar-SA"/>
              </w:rPr>
              <w:t>6</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7442B3" w:rsidRPr="00C16C3E" w:rsidRDefault="00DE4610" w:rsidP="00C56955">
            <w:pPr>
              <w:suppressAutoHyphens/>
              <w:snapToGrid w:val="0"/>
              <w:jc w:val="center"/>
              <w:rPr>
                <w:sz w:val="20"/>
                <w:szCs w:val="20"/>
                <w:lang w:eastAsia="ar-SA"/>
              </w:rPr>
            </w:pPr>
            <w:r>
              <w:rPr>
                <w:sz w:val="20"/>
                <w:szCs w:val="20"/>
                <w:lang w:eastAsia="ar-SA"/>
              </w:rPr>
              <w:t>Не менее 12</w:t>
            </w:r>
          </w:p>
        </w:tc>
      </w:tr>
      <w:tr w:rsidR="00C16C3E" w:rsidRPr="00C16C3E" w:rsidTr="008762DB">
        <w:trPr>
          <w:jc w:val="center"/>
        </w:trPr>
        <w:tc>
          <w:tcPr>
            <w:tcW w:w="275" w:type="pct"/>
            <w:tcBorders>
              <w:top w:val="single" w:sz="4" w:space="0" w:color="000000"/>
              <w:left w:val="single" w:sz="4" w:space="0" w:color="000000"/>
              <w:bottom w:val="single" w:sz="4" w:space="0" w:color="auto"/>
              <w:right w:val="nil"/>
            </w:tcBorders>
            <w:shd w:val="clear" w:color="auto" w:fill="auto"/>
          </w:tcPr>
          <w:p w:rsidR="007442B3" w:rsidRPr="00C16C3E" w:rsidRDefault="00664C93" w:rsidP="00C56955">
            <w:pPr>
              <w:suppressAutoHyphens/>
              <w:jc w:val="center"/>
              <w:rPr>
                <w:sz w:val="20"/>
                <w:szCs w:val="20"/>
                <w:lang w:eastAsia="ar-SA"/>
              </w:rPr>
            </w:pPr>
            <w:r w:rsidRPr="00C16C3E">
              <w:rPr>
                <w:sz w:val="20"/>
                <w:szCs w:val="20"/>
                <w:lang w:eastAsia="ar-SA"/>
              </w:rPr>
              <w:t>3</w:t>
            </w:r>
          </w:p>
        </w:tc>
        <w:tc>
          <w:tcPr>
            <w:tcW w:w="705" w:type="pct"/>
            <w:tcBorders>
              <w:top w:val="single" w:sz="4" w:space="0" w:color="000000"/>
              <w:left w:val="single" w:sz="4" w:space="0" w:color="000000"/>
              <w:bottom w:val="single" w:sz="4" w:space="0" w:color="auto"/>
              <w:right w:val="nil"/>
            </w:tcBorders>
            <w:shd w:val="clear" w:color="auto" w:fill="auto"/>
            <w:hideMark/>
          </w:tcPr>
          <w:p w:rsidR="007442B3" w:rsidRPr="00C16C3E" w:rsidRDefault="00664C93" w:rsidP="00C56955">
            <w:pPr>
              <w:suppressAutoHyphens/>
              <w:jc w:val="center"/>
              <w:rPr>
                <w:sz w:val="20"/>
                <w:szCs w:val="20"/>
                <w:lang w:eastAsia="ar-SA"/>
              </w:rPr>
            </w:pPr>
            <w:r w:rsidRPr="00C16C3E">
              <w:rPr>
                <w:sz w:val="20"/>
                <w:szCs w:val="20"/>
                <w:lang w:eastAsia="ar-SA"/>
              </w:rPr>
              <w:t>Протез голени модульный, в том числе при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7442B3" w:rsidRPr="00C16C3E" w:rsidRDefault="00664C93" w:rsidP="008E71B9">
            <w:pPr>
              <w:suppressAutoHyphens/>
              <w:snapToGrid w:val="0"/>
              <w:jc w:val="both"/>
              <w:rPr>
                <w:sz w:val="20"/>
                <w:szCs w:val="20"/>
                <w:lang w:eastAsia="ar-SA"/>
              </w:rPr>
            </w:pPr>
            <w:r w:rsidRPr="00C16C3E">
              <w:rPr>
                <w:sz w:val="20"/>
                <w:szCs w:val="20"/>
              </w:rPr>
              <w:t>Протез голени модульный,</w:t>
            </w:r>
            <w:r w:rsidRPr="00C16C3E">
              <w:rPr>
                <w:sz w:val="20"/>
                <w:szCs w:val="20"/>
                <w:lang w:eastAsia="ar-SA"/>
              </w:rPr>
              <w:t xml:space="preserve"> в том числе при недоразвитии, изготовление должно быть</w:t>
            </w:r>
            <w:r w:rsidRPr="00C16C3E">
              <w:rPr>
                <w:sz w:val="20"/>
                <w:szCs w:val="20"/>
              </w:rPr>
              <w:t xml:space="preserve"> по индивидуальному технологическому процессу. Крепление должно быть силикон-лайнер, с замком. Формообразующая облицовка должна быть модульная мягкая полиуретановая.  Косметическое покрытие облицовки должно быть: </w:t>
            </w:r>
            <w:proofErr w:type="spellStart"/>
            <w:r w:rsidRPr="00C16C3E">
              <w:rPr>
                <w:sz w:val="20"/>
                <w:szCs w:val="20"/>
              </w:rPr>
              <w:t>перлоновый</w:t>
            </w:r>
            <w:proofErr w:type="spellEnd"/>
            <w:r w:rsidRPr="00C16C3E">
              <w:rPr>
                <w:sz w:val="20"/>
                <w:szCs w:val="20"/>
              </w:rPr>
              <w:t xml:space="preserve"> чехол. Гильза индивидуальная должна быть изготовлена по индивидуальному слепку (одна пробная гильза). Материал индивидуальной постоянной гильзы должен быть литьевой слоистый пластик на основе акриловых смол. Приемная гильза должна быть усиленная. Вкладная гильза должна быть из </w:t>
            </w:r>
            <w:proofErr w:type="spellStart"/>
            <w:r w:rsidRPr="00C16C3E">
              <w:rPr>
                <w:sz w:val="20"/>
                <w:szCs w:val="20"/>
              </w:rPr>
              <w:t>ортолюкса</w:t>
            </w:r>
            <w:proofErr w:type="spellEnd"/>
            <w:r w:rsidRPr="00C16C3E">
              <w:rPr>
                <w:sz w:val="20"/>
                <w:szCs w:val="20"/>
              </w:rPr>
              <w:t>. Регулировочно-соединительные устройства должны соответствовать весу пациента. Стопа должна быть анатомической формы, с вмонтированным алюминиевым адаптером, обеспечивающей более активное сгибание пружинящего элемента в середине фазы опоры для естественного переката стопы и компенсацию неровности поверхности при ходьбе. Тип протеза по назначению: постоянный.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7442B3" w:rsidRPr="00C16C3E" w:rsidRDefault="000B73F9" w:rsidP="00C56955">
            <w:pPr>
              <w:suppressAutoHyphens/>
              <w:snapToGrid w:val="0"/>
              <w:jc w:val="center"/>
              <w:rPr>
                <w:sz w:val="20"/>
                <w:szCs w:val="20"/>
                <w:lang w:eastAsia="ar-SA"/>
              </w:rPr>
            </w:pPr>
            <w:r w:rsidRPr="00C16C3E">
              <w:rPr>
                <w:sz w:val="20"/>
                <w:szCs w:val="20"/>
                <w:lang w:eastAsia="ar-SA"/>
              </w:rPr>
              <w:t>4</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7442B3" w:rsidRPr="00C16C3E" w:rsidRDefault="00DE4610" w:rsidP="00C56955">
            <w:pPr>
              <w:suppressAutoHyphens/>
              <w:snapToGrid w:val="0"/>
              <w:jc w:val="center"/>
              <w:rPr>
                <w:sz w:val="20"/>
                <w:szCs w:val="20"/>
                <w:lang w:eastAsia="ar-SA"/>
              </w:rPr>
            </w:pPr>
            <w:r>
              <w:rPr>
                <w:sz w:val="20"/>
                <w:szCs w:val="20"/>
                <w:lang w:eastAsia="ar-SA"/>
              </w:rPr>
              <w:t>Не менее 12</w:t>
            </w:r>
          </w:p>
        </w:tc>
      </w:tr>
      <w:tr w:rsidR="00C16C3E" w:rsidRPr="00C16C3E" w:rsidTr="00637AA9">
        <w:trPr>
          <w:trHeight w:val="2971"/>
          <w:jc w:val="center"/>
        </w:trPr>
        <w:tc>
          <w:tcPr>
            <w:tcW w:w="275" w:type="pct"/>
            <w:tcBorders>
              <w:top w:val="single" w:sz="4" w:space="0" w:color="000000"/>
              <w:left w:val="single" w:sz="4" w:space="0" w:color="000000"/>
              <w:bottom w:val="single" w:sz="4" w:space="0" w:color="auto"/>
              <w:right w:val="nil"/>
            </w:tcBorders>
            <w:shd w:val="clear" w:color="auto" w:fill="auto"/>
          </w:tcPr>
          <w:p w:rsidR="00664C93" w:rsidRPr="00C16C3E" w:rsidRDefault="008762DB" w:rsidP="00C56955">
            <w:pPr>
              <w:suppressAutoHyphens/>
              <w:jc w:val="center"/>
              <w:rPr>
                <w:sz w:val="20"/>
                <w:szCs w:val="20"/>
                <w:lang w:eastAsia="ar-SA"/>
              </w:rPr>
            </w:pPr>
            <w:r>
              <w:rPr>
                <w:sz w:val="20"/>
                <w:szCs w:val="20"/>
                <w:lang w:eastAsia="ar-SA"/>
              </w:rPr>
              <w:lastRenderedPageBreak/>
              <w:t>4</w:t>
            </w:r>
          </w:p>
        </w:tc>
        <w:tc>
          <w:tcPr>
            <w:tcW w:w="705" w:type="pct"/>
            <w:tcBorders>
              <w:top w:val="single" w:sz="4" w:space="0" w:color="000000"/>
              <w:left w:val="single" w:sz="4" w:space="0" w:color="000000"/>
              <w:bottom w:val="single" w:sz="4" w:space="0" w:color="auto"/>
              <w:right w:val="nil"/>
            </w:tcBorders>
            <w:shd w:val="clear" w:color="auto" w:fill="auto"/>
            <w:hideMark/>
          </w:tcPr>
          <w:p w:rsidR="00664C93" w:rsidRPr="00C16C3E" w:rsidRDefault="00664C93" w:rsidP="00182B6D">
            <w:pPr>
              <w:suppressAutoHyphens/>
              <w:jc w:val="center"/>
              <w:rPr>
                <w:sz w:val="20"/>
                <w:szCs w:val="20"/>
                <w:lang w:eastAsia="ar-SA"/>
              </w:rPr>
            </w:pPr>
            <w:r w:rsidRPr="00C16C3E">
              <w:rPr>
                <w:sz w:val="20"/>
                <w:szCs w:val="20"/>
                <w:lang w:eastAsia="ar-SA"/>
              </w:rPr>
              <w:t>Протез голени для купания</w:t>
            </w:r>
          </w:p>
        </w:tc>
        <w:tc>
          <w:tcPr>
            <w:tcW w:w="3037" w:type="pct"/>
            <w:tcBorders>
              <w:top w:val="single" w:sz="4" w:space="0" w:color="000000"/>
              <w:left w:val="single" w:sz="4" w:space="0" w:color="000000"/>
              <w:bottom w:val="single" w:sz="4" w:space="0" w:color="auto"/>
              <w:right w:val="nil"/>
            </w:tcBorders>
            <w:shd w:val="clear" w:color="auto" w:fill="auto"/>
            <w:hideMark/>
          </w:tcPr>
          <w:p w:rsidR="00664C93" w:rsidRPr="00C16C3E" w:rsidRDefault="00664C93" w:rsidP="008E71B9">
            <w:pPr>
              <w:suppressAutoHyphens/>
              <w:snapToGrid w:val="0"/>
              <w:jc w:val="both"/>
              <w:rPr>
                <w:sz w:val="20"/>
                <w:szCs w:val="20"/>
              </w:rPr>
            </w:pPr>
            <w:r w:rsidRPr="00C16C3E">
              <w:rPr>
                <w:sz w:val="20"/>
                <w:szCs w:val="20"/>
              </w:rPr>
              <w:t xml:space="preserve">Протез голени для купания. Протез должен быть без косметической облицовки и оболочки или с косметической облицовкой и оболочкой. Приемная гильза должна быть индивидуального изготовления. Материал приемной гильзы должен быть литьевой слоистый пластик на основе акриловых смол. Вкладная гильза должна быть из вспененных материалов. Метод крепления протеза должен быть за счет формы приемной гильзы, крепление должно быть облегченное, с использованием </w:t>
            </w:r>
            <w:proofErr w:type="spellStart"/>
            <w:r w:rsidRPr="00C16C3E">
              <w:rPr>
                <w:sz w:val="20"/>
                <w:szCs w:val="20"/>
              </w:rPr>
              <w:t>сополимерного</w:t>
            </w:r>
            <w:proofErr w:type="spellEnd"/>
            <w:r w:rsidRPr="00C16C3E">
              <w:rPr>
                <w:sz w:val="20"/>
                <w:szCs w:val="20"/>
              </w:rPr>
              <w:t xml:space="preserve"> наколенника. Комплектующие протеза должны быть влагостойкие. Стопа должна быть с рифленой подошвой с защитой от проскальзывания. Стопа должна быть </w:t>
            </w:r>
            <w:proofErr w:type="spellStart"/>
            <w:r w:rsidRPr="00C16C3E">
              <w:rPr>
                <w:sz w:val="20"/>
                <w:szCs w:val="20"/>
              </w:rPr>
              <w:t>бесшарнирная</w:t>
            </w:r>
            <w:proofErr w:type="spellEnd"/>
            <w:r w:rsidRPr="00C16C3E">
              <w:rPr>
                <w:sz w:val="20"/>
                <w:szCs w:val="20"/>
              </w:rPr>
              <w:t>, полиуретановая, монолитная или шарнирная полиуретановая. Срок службы не менее 36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664C93" w:rsidRPr="00C16C3E" w:rsidRDefault="00684671" w:rsidP="00C56955">
            <w:pPr>
              <w:suppressAutoHyphens/>
              <w:snapToGrid w:val="0"/>
              <w:jc w:val="center"/>
              <w:rPr>
                <w:sz w:val="20"/>
                <w:szCs w:val="20"/>
                <w:lang w:eastAsia="ar-SA"/>
              </w:rPr>
            </w:pPr>
            <w:r w:rsidRPr="00C16C3E">
              <w:rPr>
                <w:sz w:val="20"/>
                <w:szCs w:val="20"/>
                <w:lang w:eastAsia="ar-SA"/>
              </w:rPr>
              <w:t>8</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664C93" w:rsidRPr="00C16C3E" w:rsidRDefault="00DE4610" w:rsidP="00C56955">
            <w:pPr>
              <w:suppressAutoHyphens/>
              <w:snapToGrid w:val="0"/>
              <w:jc w:val="center"/>
              <w:rPr>
                <w:sz w:val="20"/>
                <w:szCs w:val="20"/>
                <w:lang w:eastAsia="ar-SA"/>
              </w:rPr>
            </w:pPr>
            <w:r>
              <w:rPr>
                <w:sz w:val="20"/>
                <w:szCs w:val="20"/>
                <w:lang w:eastAsia="ar-SA"/>
              </w:rPr>
              <w:t>Не менее 12</w:t>
            </w:r>
          </w:p>
        </w:tc>
      </w:tr>
      <w:tr w:rsidR="008762DB" w:rsidRPr="00C16C3E" w:rsidTr="008762DB">
        <w:trPr>
          <w:trHeight w:val="3802"/>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5</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182B6D">
            <w:pPr>
              <w:suppressAutoHyphens/>
              <w:snapToGrid w:val="0"/>
              <w:rPr>
                <w:rFonts w:eastAsia="Lucida Sans Unicode"/>
                <w:kern w:val="2"/>
                <w:sz w:val="20"/>
                <w:szCs w:val="20"/>
                <w:lang w:eastAsia="ar-SA"/>
              </w:rPr>
            </w:pPr>
            <w:r w:rsidRPr="00C16C3E">
              <w:rPr>
                <w:rFonts w:eastAsia="Lucida Sans Unicode"/>
                <w:kern w:val="2"/>
                <w:sz w:val="20"/>
                <w:szCs w:val="20"/>
                <w:lang w:eastAsia="ar-SA"/>
              </w:rPr>
              <w:t>Протез бедра модульный, в том числе при врожденном недоразвитии</w:t>
            </w:r>
          </w:p>
        </w:tc>
        <w:tc>
          <w:tcPr>
            <w:tcW w:w="3037" w:type="pct"/>
            <w:tcBorders>
              <w:top w:val="single" w:sz="4" w:space="0" w:color="000000"/>
              <w:left w:val="single" w:sz="4" w:space="0" w:color="000000"/>
              <w:bottom w:val="single" w:sz="4" w:space="0" w:color="auto"/>
              <w:right w:val="nil"/>
            </w:tcBorders>
            <w:shd w:val="clear" w:color="auto" w:fill="auto"/>
            <w:vAlign w:val="center"/>
            <w:hideMark/>
          </w:tcPr>
          <w:p w:rsidR="008762DB" w:rsidRPr="00C16C3E" w:rsidRDefault="008762DB" w:rsidP="008E71B9">
            <w:pPr>
              <w:jc w:val="both"/>
              <w:rPr>
                <w:color w:val="FF0000"/>
                <w:sz w:val="20"/>
                <w:szCs w:val="20"/>
              </w:rPr>
            </w:pPr>
            <w:r w:rsidRPr="00C16C3E">
              <w:rPr>
                <w:sz w:val="20"/>
                <w:szCs w:val="20"/>
              </w:rPr>
              <w:t xml:space="preserve">Протез бедра модульный, в том числе при врожденном недоразвитии, должен быть без силиконового чехла. Формообразующая часть косметической облицовки: должна быть модульная мягкая полиуретановая. Косметическое покрытие облицовки: должны быть чулки ортопедические </w:t>
            </w:r>
            <w:proofErr w:type="spellStart"/>
            <w:r w:rsidRPr="00C16C3E">
              <w:rPr>
                <w:sz w:val="20"/>
                <w:szCs w:val="20"/>
              </w:rPr>
              <w:t>перлоновые</w:t>
            </w:r>
            <w:proofErr w:type="spellEnd"/>
            <w:r w:rsidRPr="00C16C3E">
              <w:rPr>
                <w:sz w:val="20"/>
                <w:szCs w:val="20"/>
              </w:rPr>
              <w:t xml:space="preserve">. Приемная гильза должна быть индивидуальная (одна пробная).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протеза должно быть поясное или с использованием бандажа. Регулировочно-соединительное устройство должно </w:t>
            </w:r>
            <w:r w:rsidR="00637AA9" w:rsidRPr="00C16C3E">
              <w:rPr>
                <w:sz w:val="20"/>
                <w:szCs w:val="20"/>
              </w:rPr>
              <w:t>соответствовать</w:t>
            </w:r>
            <w:r w:rsidRPr="00C16C3E">
              <w:rPr>
                <w:sz w:val="20"/>
                <w:szCs w:val="20"/>
              </w:rPr>
              <w:t xml:space="preserve"> весу инвалида. Стопа должна быть со средним уровнем энергосбережения, должна быть с голеностопным шарниром, подвижным в сагиттальной плоскости, со сменным пяточным амортизатором. Коленный шарнир должен быть с ручным замком полицентрический. Тип протеза: любой, по назначению.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10</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4526"/>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6</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182B6D">
            <w:pPr>
              <w:suppressAutoHyphens/>
              <w:jc w:val="center"/>
              <w:rPr>
                <w:sz w:val="20"/>
                <w:szCs w:val="20"/>
                <w:lang w:eastAsia="ar-SA"/>
              </w:rPr>
            </w:pPr>
            <w:r w:rsidRPr="00C16C3E">
              <w:rPr>
                <w:sz w:val="20"/>
                <w:szCs w:val="20"/>
                <w:lang w:eastAsia="ar-SA"/>
              </w:rPr>
              <w:t>Протез бедра модульный, в том числе при врожденном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suppressAutoHyphens/>
              <w:snapToGrid w:val="0"/>
              <w:jc w:val="both"/>
              <w:rPr>
                <w:sz w:val="20"/>
                <w:szCs w:val="20"/>
                <w:lang w:eastAsia="ar-SA"/>
              </w:rPr>
            </w:pPr>
            <w:r w:rsidRPr="00C16C3E">
              <w:rPr>
                <w:sz w:val="20"/>
                <w:szCs w:val="20"/>
              </w:rPr>
              <w:t xml:space="preserve">Протез бедра </w:t>
            </w:r>
            <w:proofErr w:type="gramStart"/>
            <w:r w:rsidRPr="00C16C3E">
              <w:rPr>
                <w:sz w:val="20"/>
                <w:szCs w:val="20"/>
              </w:rPr>
              <w:t>модульный</w:t>
            </w:r>
            <w:proofErr w:type="gramEnd"/>
            <w:r w:rsidRPr="00C16C3E">
              <w:rPr>
                <w:sz w:val="20"/>
                <w:szCs w:val="20"/>
              </w:rPr>
              <w:t xml:space="preserve"> в том числе при врожденном недоразвитии должен быть с силиконовым чехлом. Формообразующая часть косметической облицовки должна быть модульная мягкая полиуретановая или листовой поролон. Косметическое покрытие облицовки: должны быть чулки ортопедические </w:t>
            </w:r>
            <w:proofErr w:type="spellStart"/>
            <w:r w:rsidRPr="00C16C3E">
              <w:rPr>
                <w:sz w:val="20"/>
                <w:szCs w:val="20"/>
              </w:rPr>
              <w:t>перлоновые</w:t>
            </w:r>
            <w:proofErr w:type="spellEnd"/>
            <w:r w:rsidRPr="00C16C3E">
              <w:rPr>
                <w:sz w:val="20"/>
                <w:szCs w:val="20"/>
              </w:rPr>
              <w:t xml:space="preserve"> или </w:t>
            </w:r>
            <w:proofErr w:type="spellStart"/>
            <w:r w:rsidRPr="00C16C3E">
              <w:rPr>
                <w:sz w:val="20"/>
                <w:szCs w:val="20"/>
              </w:rPr>
              <w:t>силоновые</w:t>
            </w:r>
            <w:proofErr w:type="spellEnd"/>
            <w:r w:rsidRPr="00C16C3E">
              <w:rPr>
                <w:sz w:val="20"/>
                <w:szCs w:val="20"/>
              </w:rPr>
              <w:t xml:space="preserve">, допускается покрытие защитное пленочное. Приёмная гильза должна быть индивидуальная (одна пробная гильза). Материал унифицированной постоянной гильзы: должен быть слоистый пластик на основе полиамидных или акриловых смол. В качестве вкладного элемента должны применяться чехлы полимерные </w:t>
            </w:r>
            <w:proofErr w:type="spellStart"/>
            <w:r w:rsidRPr="00C16C3E">
              <w:rPr>
                <w:sz w:val="20"/>
                <w:szCs w:val="20"/>
              </w:rPr>
              <w:t>гелевые</w:t>
            </w:r>
            <w:proofErr w:type="spellEnd"/>
            <w:r w:rsidRPr="00C16C3E">
              <w:rPr>
                <w:sz w:val="20"/>
                <w:szCs w:val="20"/>
              </w:rPr>
              <w:t>, крепление должно быть с использованием замка или вакуумной мембраны.</w:t>
            </w:r>
            <w:r w:rsidRPr="00C16C3E">
              <w:rPr>
                <w:strike/>
                <w:sz w:val="20"/>
                <w:szCs w:val="20"/>
              </w:rPr>
              <w:t xml:space="preserve"> </w:t>
            </w:r>
            <w:r w:rsidRPr="00C16C3E">
              <w:rPr>
                <w:sz w:val="20"/>
                <w:szCs w:val="20"/>
              </w:rPr>
              <w:t>Регулировочно-соединительное устройство должно соответствовать весу инвалида. Стопа должна быть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 Коленный шарнир должен быть полицентрический с ручным замком. Тип протеза: любой, по назначению.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2</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8762DB">
        <w:trPr>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7</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182B6D">
            <w:pPr>
              <w:suppressAutoHyphens/>
              <w:jc w:val="center"/>
              <w:rPr>
                <w:sz w:val="20"/>
                <w:szCs w:val="20"/>
                <w:lang w:eastAsia="ar-SA"/>
              </w:rPr>
            </w:pPr>
            <w:r w:rsidRPr="00C16C3E">
              <w:rPr>
                <w:sz w:val="20"/>
                <w:szCs w:val="20"/>
                <w:lang w:eastAsia="ar-SA"/>
              </w:rPr>
              <w:t>Протез при вычленении бедра модульный</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Default="008762DB" w:rsidP="008E71B9">
            <w:pPr>
              <w:suppressAutoHyphens/>
              <w:snapToGrid w:val="0"/>
              <w:jc w:val="both"/>
              <w:rPr>
                <w:sz w:val="20"/>
                <w:szCs w:val="20"/>
                <w:lang w:eastAsia="ar-SA"/>
              </w:rPr>
            </w:pPr>
            <w:r w:rsidRPr="00C16C3E">
              <w:rPr>
                <w:sz w:val="20"/>
                <w:szCs w:val="20"/>
                <w:lang w:eastAsia="ar-SA"/>
              </w:rPr>
              <w:t xml:space="preserve">Протез при вычленении бедра модульный, должен быть с замком в тазобедренном шарнире, без замка в коленном шарнире. Формообразующая часть косметической облицовки: должна быть мягкая полиуретановая или листовой поролон. Косметическое покрытие облицовки: должны быть чулки ортопедические </w:t>
            </w:r>
            <w:proofErr w:type="spellStart"/>
            <w:r w:rsidRPr="00C16C3E">
              <w:rPr>
                <w:sz w:val="20"/>
                <w:szCs w:val="20"/>
                <w:lang w:eastAsia="ar-SA"/>
              </w:rPr>
              <w:t>перлоновые</w:t>
            </w:r>
            <w:proofErr w:type="spellEnd"/>
            <w:r w:rsidRPr="00C16C3E">
              <w:rPr>
                <w:sz w:val="20"/>
                <w:szCs w:val="20"/>
                <w:lang w:eastAsia="ar-SA"/>
              </w:rPr>
              <w:t xml:space="preserve">. Косметическое покрытие </w:t>
            </w:r>
            <w:proofErr w:type="spellStart"/>
            <w:r w:rsidRPr="00C16C3E">
              <w:rPr>
                <w:sz w:val="20"/>
                <w:szCs w:val="20"/>
                <w:lang w:eastAsia="ar-SA"/>
              </w:rPr>
              <w:t>полукорсета</w:t>
            </w:r>
            <w:proofErr w:type="spellEnd"/>
            <w:r w:rsidRPr="00C16C3E">
              <w:rPr>
                <w:sz w:val="20"/>
                <w:szCs w:val="20"/>
                <w:lang w:eastAsia="ar-SA"/>
              </w:rPr>
              <w:t xml:space="preserve"> – должен быть бандаж из эластичных тканей на шнуровке. </w:t>
            </w:r>
            <w:proofErr w:type="spellStart"/>
            <w:r w:rsidRPr="00C16C3E">
              <w:rPr>
                <w:sz w:val="20"/>
                <w:szCs w:val="20"/>
                <w:lang w:eastAsia="ar-SA"/>
              </w:rPr>
              <w:t>Полукорсет</w:t>
            </w:r>
            <w:proofErr w:type="spellEnd"/>
            <w:r w:rsidRPr="00C16C3E">
              <w:rPr>
                <w:sz w:val="20"/>
                <w:szCs w:val="20"/>
                <w:lang w:eastAsia="ar-SA"/>
              </w:rPr>
              <w:t xml:space="preserve"> (приемная гильза) должен быть изготовлен по индивидуальному слепку (один пробный). Материал </w:t>
            </w:r>
            <w:proofErr w:type="spellStart"/>
            <w:r w:rsidRPr="00C16C3E">
              <w:rPr>
                <w:sz w:val="20"/>
                <w:szCs w:val="20"/>
                <w:lang w:eastAsia="ar-SA"/>
              </w:rPr>
              <w:t>полукорсета</w:t>
            </w:r>
            <w:proofErr w:type="spellEnd"/>
            <w:r w:rsidRPr="00C16C3E">
              <w:rPr>
                <w:sz w:val="20"/>
                <w:szCs w:val="20"/>
                <w:lang w:eastAsia="ar-SA"/>
              </w:rPr>
              <w:t xml:space="preserve"> должен быть литьевой слоистый пластик на основе акриловых смол, вкладной элемент </w:t>
            </w:r>
            <w:proofErr w:type="spellStart"/>
            <w:r w:rsidRPr="00C16C3E">
              <w:rPr>
                <w:sz w:val="20"/>
                <w:szCs w:val="20"/>
                <w:lang w:eastAsia="ar-SA"/>
              </w:rPr>
              <w:t>полукорсета</w:t>
            </w:r>
            <w:proofErr w:type="spellEnd"/>
            <w:r w:rsidRPr="00C16C3E">
              <w:rPr>
                <w:sz w:val="20"/>
                <w:szCs w:val="20"/>
                <w:lang w:eastAsia="ar-SA"/>
              </w:rPr>
              <w:t xml:space="preserve"> должен быть из </w:t>
            </w:r>
            <w:proofErr w:type="spellStart"/>
            <w:r w:rsidRPr="00C16C3E">
              <w:rPr>
                <w:sz w:val="20"/>
                <w:szCs w:val="20"/>
                <w:lang w:eastAsia="ar-SA"/>
              </w:rPr>
              <w:t>ортолюкса</w:t>
            </w:r>
            <w:proofErr w:type="spellEnd"/>
            <w:r w:rsidRPr="00C16C3E">
              <w:rPr>
                <w:sz w:val="20"/>
                <w:szCs w:val="20"/>
                <w:lang w:eastAsia="ar-SA"/>
              </w:rPr>
              <w:t xml:space="preserve">. Опорный элемент должен быть из </w:t>
            </w:r>
            <w:proofErr w:type="spellStart"/>
            <w:r w:rsidRPr="00C16C3E">
              <w:rPr>
                <w:sz w:val="20"/>
                <w:szCs w:val="20"/>
                <w:lang w:eastAsia="ar-SA"/>
              </w:rPr>
              <w:t>пластазота</w:t>
            </w:r>
            <w:proofErr w:type="spellEnd"/>
            <w:r w:rsidRPr="00C16C3E">
              <w:rPr>
                <w:sz w:val="20"/>
                <w:szCs w:val="20"/>
                <w:lang w:eastAsia="ar-SA"/>
              </w:rPr>
              <w:t xml:space="preserve">. Крепление </w:t>
            </w:r>
            <w:proofErr w:type="spellStart"/>
            <w:r w:rsidRPr="00C16C3E">
              <w:rPr>
                <w:sz w:val="20"/>
                <w:szCs w:val="20"/>
                <w:lang w:eastAsia="ar-SA"/>
              </w:rPr>
              <w:t>полукорсета</w:t>
            </w:r>
            <w:proofErr w:type="spellEnd"/>
            <w:r w:rsidRPr="00C16C3E">
              <w:rPr>
                <w:sz w:val="20"/>
                <w:szCs w:val="20"/>
                <w:lang w:eastAsia="ar-SA"/>
              </w:rPr>
              <w:t xml:space="preserve"> должно быть при помощи пряжек. Регулировочно – соединительные устройства должны соответствовать весу инвалида. Стопа должна быть с повышенной упругостью носочной части, с регулировкой высоты каблука. Тип протеза: по назначению постоянный. Срок службы не менее 24 мес.</w:t>
            </w:r>
          </w:p>
          <w:p w:rsidR="00637AA9" w:rsidRPr="00C16C3E" w:rsidRDefault="00637AA9" w:rsidP="008E71B9">
            <w:pPr>
              <w:suppressAutoHyphens/>
              <w:snapToGrid w:val="0"/>
              <w:jc w:val="both"/>
              <w:rPr>
                <w:sz w:val="20"/>
                <w:szCs w:val="20"/>
                <w:lang w:eastAsia="ar-SA"/>
              </w:rPr>
            </w:pP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2</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1979"/>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lastRenderedPageBreak/>
              <w:t>8</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при вычленении бедра модульный</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684671">
            <w:pPr>
              <w:suppressAutoHyphens/>
              <w:snapToGrid w:val="0"/>
              <w:jc w:val="both"/>
              <w:rPr>
                <w:sz w:val="20"/>
                <w:szCs w:val="20"/>
                <w:lang w:eastAsia="ar-SA"/>
              </w:rPr>
            </w:pPr>
            <w:r w:rsidRPr="00C16C3E">
              <w:rPr>
                <w:sz w:val="20"/>
                <w:szCs w:val="20"/>
              </w:rPr>
              <w:t xml:space="preserve">Протез при вычленении бедра модульный. Приёмная </w:t>
            </w:r>
            <w:proofErr w:type="gramStart"/>
            <w:r w:rsidRPr="00C16C3E">
              <w:rPr>
                <w:sz w:val="20"/>
                <w:szCs w:val="20"/>
              </w:rPr>
              <w:t>гильза-должна</w:t>
            </w:r>
            <w:proofErr w:type="gramEnd"/>
            <w:r w:rsidRPr="00C16C3E">
              <w:rPr>
                <w:sz w:val="20"/>
                <w:szCs w:val="20"/>
              </w:rPr>
              <w:t xml:space="preserve"> быть изготовлена </w:t>
            </w:r>
            <w:proofErr w:type="spellStart"/>
            <w:r w:rsidRPr="00C16C3E">
              <w:rPr>
                <w:sz w:val="20"/>
                <w:szCs w:val="20"/>
              </w:rPr>
              <w:t>полукорсетом</w:t>
            </w:r>
            <w:proofErr w:type="spellEnd"/>
            <w:r w:rsidRPr="00C16C3E">
              <w:rPr>
                <w:sz w:val="20"/>
                <w:szCs w:val="20"/>
              </w:rPr>
              <w:t xml:space="preserve">, по слепку с культи инвалида (одна пробная гильза). Регулировочно-соединительные устройства должны соответствовать весу инвалида. Стопа должна быть с повышенной упругостью носочной части. Коленный шарнир должен быть четырехосный, с регулируемым </w:t>
            </w:r>
            <w:proofErr w:type="spellStart"/>
            <w:r w:rsidRPr="00C16C3E">
              <w:rPr>
                <w:sz w:val="20"/>
                <w:szCs w:val="20"/>
              </w:rPr>
              <w:t>голенооткидным</w:t>
            </w:r>
            <w:proofErr w:type="spellEnd"/>
            <w:r w:rsidRPr="00C16C3E">
              <w:rPr>
                <w:sz w:val="20"/>
                <w:szCs w:val="20"/>
              </w:rPr>
              <w:t xml:space="preserve"> устройством. Тазобедренный шарнир должен быть замковый. Тип протеза: по назначению. Срок службы 24 месяца.</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3382"/>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9</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лечебно-тренировочный</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jc w:val="both"/>
              <w:rPr>
                <w:sz w:val="20"/>
                <w:szCs w:val="20"/>
              </w:rPr>
            </w:pPr>
            <w:r w:rsidRPr="00C16C3E">
              <w:rPr>
                <w:sz w:val="20"/>
                <w:szCs w:val="20"/>
              </w:rPr>
              <w:t xml:space="preserve">Протез бедра лечебно-тренировочный.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C16C3E">
              <w:rPr>
                <w:sz w:val="20"/>
                <w:szCs w:val="20"/>
              </w:rPr>
              <w:t>перлоновые</w:t>
            </w:r>
            <w:proofErr w:type="spellEnd"/>
            <w:r w:rsidRPr="00C16C3E">
              <w:rPr>
                <w:sz w:val="20"/>
                <w:szCs w:val="20"/>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поясное/с использованием бандажа.</w:t>
            </w:r>
          </w:p>
          <w:p w:rsidR="008762DB" w:rsidRPr="00C16C3E" w:rsidRDefault="008762DB" w:rsidP="008E71B9">
            <w:pPr>
              <w:jc w:val="both"/>
              <w:rPr>
                <w:sz w:val="20"/>
                <w:szCs w:val="20"/>
              </w:rPr>
            </w:pPr>
            <w:r w:rsidRPr="00C16C3E">
              <w:rPr>
                <w:sz w:val="20"/>
                <w:szCs w:val="20"/>
              </w:rPr>
              <w:t xml:space="preserve">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w:t>
            </w:r>
          </w:p>
          <w:p w:rsidR="008762DB" w:rsidRPr="00C16C3E" w:rsidRDefault="008762DB" w:rsidP="008E71B9">
            <w:pPr>
              <w:suppressAutoHyphens/>
              <w:snapToGrid w:val="0"/>
              <w:jc w:val="both"/>
              <w:rPr>
                <w:sz w:val="20"/>
                <w:szCs w:val="20"/>
                <w:lang w:eastAsia="ar-SA"/>
              </w:rPr>
            </w:pPr>
            <w:r w:rsidRPr="00C16C3E">
              <w:rPr>
                <w:sz w:val="20"/>
                <w:szCs w:val="20"/>
              </w:rPr>
              <w:t>Срок службы не менее 12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3686"/>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10</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модульный, в том числе при врожденном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suppressAutoHyphens/>
              <w:snapToGrid w:val="0"/>
              <w:jc w:val="both"/>
              <w:rPr>
                <w:sz w:val="20"/>
                <w:szCs w:val="20"/>
                <w:lang w:eastAsia="ar-SA"/>
              </w:rPr>
            </w:pPr>
            <w:r w:rsidRPr="00C16C3E">
              <w:rPr>
                <w:sz w:val="20"/>
                <w:szCs w:val="20"/>
                <w:lang w:eastAsia="ar-SA"/>
              </w:rPr>
              <w:t>Протез бедра модульный, в том числе при врожденном недоразвитии, должен быть с несущей приемной гильзой из слоистого пластика на основе акриловых смол, индивидуального изготовления по слепку (одна пробная гильза). Формообразующая часть косметической облицовки должна быть модульная мягкая полиуретановая. Крепление протеза должно быть мышечно-вакуумное, с бандажом. Регулировочно-соединительные устройства должны соответствовать весу инвалида. Моноцентрический модуль с ротационной гидравлической системой, управляющей фазой переноса и  обеспечивающей в фазе опоры поддержку за счет высокого сопротивления сгибанию. Стопа должна компенсировать неровности опорной поверхности благодаря многоосной функции. Протез должен быть укомплектован необходимым набором чехлов, который необходим пациенту на весь срок пользования изделием. Тип протеза по назначению: постоянный.</w:t>
            </w:r>
            <w:r w:rsidRPr="00C16C3E">
              <w:rPr>
                <w:sz w:val="20"/>
                <w:szCs w:val="20"/>
              </w:rPr>
              <w:t xml:space="preserve">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8762DB">
        <w:trPr>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11</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модульный, в том числе при врожденном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Default="008762DB" w:rsidP="008E71B9">
            <w:pPr>
              <w:suppressAutoHyphens/>
              <w:snapToGrid w:val="0"/>
              <w:jc w:val="both"/>
              <w:rPr>
                <w:sz w:val="20"/>
                <w:szCs w:val="20"/>
              </w:rPr>
            </w:pPr>
            <w:r w:rsidRPr="00C16C3E">
              <w:rPr>
                <w:sz w:val="20"/>
                <w:szCs w:val="20"/>
                <w:lang w:eastAsia="ar-SA"/>
              </w:rPr>
              <w:t>Протез бедра модульный, в том числе при врожденном недоразвитии, должен быть с несущей приемной гильзой из слоистого пластика на основе акриловых смол, индивидуального изготовления по слепку (одна пробная гильза). Формообразующая часть косметической облицовки должна быть модульная мягкая полиуретановая. Крепление протеза должно быть чехол полимерный (силиконовый), с наружным текстильным покрытием, с двухточечной фиксацией в приемной гильзе протеза. Регулировочно-соединительные устройства должны соответствовать весу инвалида. Одноосный коленный шарнир должен быть с функцией торможения под нагрузкой. Стопа должна компенсировать неровности опорной поверхности благодаря многоосной функции, обеспечивать эффективное снижение вертикальных усилий и крутящих нагрузок. Наличие поворотного регулировочно-соединительного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пациента). Протез должен быть укомплектован необходимым набором чехлов, который необходим пациенту на весь срок пользования изделием. Тип протеза по назначению: постоянный.</w:t>
            </w:r>
            <w:r w:rsidRPr="00C16C3E">
              <w:rPr>
                <w:sz w:val="20"/>
                <w:szCs w:val="20"/>
              </w:rPr>
              <w:t xml:space="preserve"> Срок службы не менее 24 мес.</w:t>
            </w:r>
          </w:p>
          <w:p w:rsidR="00637AA9" w:rsidRPr="00C16C3E" w:rsidRDefault="00637AA9" w:rsidP="008E71B9">
            <w:pPr>
              <w:suppressAutoHyphens/>
              <w:snapToGrid w:val="0"/>
              <w:jc w:val="both"/>
              <w:rPr>
                <w:sz w:val="20"/>
                <w:szCs w:val="20"/>
                <w:lang w:eastAsia="ar-SA"/>
              </w:rPr>
            </w:pP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1695"/>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12</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модульный, в том числе при врожденном недоразвитии</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637AA9">
            <w:pPr>
              <w:suppressAutoHyphens/>
              <w:snapToGrid w:val="0"/>
              <w:jc w:val="both"/>
              <w:rPr>
                <w:sz w:val="20"/>
                <w:szCs w:val="20"/>
                <w:lang w:eastAsia="ar-SA"/>
              </w:rPr>
            </w:pPr>
            <w:r w:rsidRPr="00C16C3E">
              <w:rPr>
                <w:sz w:val="20"/>
                <w:szCs w:val="20"/>
              </w:rPr>
              <w:t xml:space="preserve">Протез бедра </w:t>
            </w:r>
            <w:proofErr w:type="gramStart"/>
            <w:r w:rsidRPr="00C16C3E">
              <w:rPr>
                <w:sz w:val="20"/>
                <w:szCs w:val="20"/>
              </w:rPr>
              <w:t>модульный</w:t>
            </w:r>
            <w:proofErr w:type="gramEnd"/>
            <w:r w:rsidRPr="00C16C3E">
              <w:rPr>
                <w:sz w:val="20"/>
                <w:szCs w:val="20"/>
              </w:rPr>
              <w:t xml:space="preserve"> в том числе при врожденном недоразвитии. Формообразующая часть косметической облицовки: должен быть листовой поролон. Косметическое покрытие облицовки: должны быть чулки ортопедические </w:t>
            </w:r>
            <w:proofErr w:type="spellStart"/>
            <w:r w:rsidRPr="00C16C3E">
              <w:rPr>
                <w:sz w:val="20"/>
                <w:szCs w:val="20"/>
              </w:rPr>
              <w:t>перлоновые</w:t>
            </w:r>
            <w:proofErr w:type="spellEnd"/>
            <w:r w:rsidRPr="00C16C3E">
              <w:rPr>
                <w:sz w:val="20"/>
                <w:szCs w:val="20"/>
              </w:rPr>
              <w:t xml:space="preserve">. Приёмная гильза должна быть индивидуальная (две пробные гильзы). Материал индивидуальной постоянной гильзы: должен быть литьевой слоистый пластик на основе акриловых смол. В качестве вкладного элемента должны применяться чехлы полимерные </w:t>
            </w:r>
            <w:proofErr w:type="spellStart"/>
            <w:r w:rsidRPr="00C16C3E">
              <w:rPr>
                <w:sz w:val="20"/>
                <w:szCs w:val="20"/>
              </w:rPr>
              <w:t>гелевые</w:t>
            </w:r>
            <w:proofErr w:type="spellEnd"/>
            <w:r w:rsidRPr="00C16C3E">
              <w:rPr>
                <w:sz w:val="20"/>
                <w:szCs w:val="20"/>
              </w:rPr>
              <w:t xml:space="preserve">, крепление должно быть с использованием </w:t>
            </w:r>
            <w:r w:rsidRPr="00C16C3E">
              <w:rPr>
                <w:sz w:val="20"/>
                <w:szCs w:val="20"/>
              </w:rPr>
              <w:lastRenderedPageBreak/>
              <w:t>замка. Регулировочно-соединительные устройства должны соответствовать весу инвалида. Стопа должна быть с бесступенчатой регулируемой пациентом высоты каблука. Коленный шарнир должен быть полицентрический с "геометрическим замком" с независимым пневматическим регулированием фаз сгибания-разгибания. Тип протеза: постоянный, для инвалидов с высоким уровнем активности. Срок службы не менее 24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lastRenderedPageBreak/>
              <w:t>2</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2385"/>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lastRenderedPageBreak/>
              <w:t>13</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для купания</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suppressAutoHyphens/>
              <w:snapToGrid w:val="0"/>
              <w:jc w:val="both"/>
              <w:rPr>
                <w:sz w:val="20"/>
                <w:szCs w:val="20"/>
                <w:lang w:eastAsia="ar-SA"/>
              </w:rPr>
            </w:pPr>
            <w:r w:rsidRPr="00C16C3E">
              <w:rPr>
                <w:sz w:val="20"/>
                <w:szCs w:val="20"/>
                <w:lang w:eastAsia="ar-SA"/>
              </w:rPr>
              <w:t xml:space="preserve">Протез бедра для купания должен быть с вакуумным клапаном. Приемная гильза должна быть акриловая </w:t>
            </w:r>
            <w:proofErr w:type="spellStart"/>
            <w:r w:rsidRPr="00C16C3E">
              <w:rPr>
                <w:sz w:val="20"/>
                <w:szCs w:val="20"/>
                <w:lang w:eastAsia="ar-SA"/>
              </w:rPr>
              <w:t>скелетированная</w:t>
            </w:r>
            <w:proofErr w:type="spellEnd"/>
            <w:r w:rsidRPr="00C16C3E">
              <w:rPr>
                <w:sz w:val="20"/>
                <w:szCs w:val="20"/>
                <w:lang w:eastAsia="ar-SA"/>
              </w:rPr>
              <w:t xml:space="preserve">, усиленная карбоном с мягким вкладным эластичным элементом, изготовленная по индивидуальному слепку с культи пациента. Крепление должно быть мышечно-вакуумное. Одноосный коленный модуль должен быть с ротационной гидравликой, с функцией торможения под нагрузкой, с независимой регулировкой фаз сгибания-разгибания, влагозащищенный. Стопа должна быть с противоскользящим эффектом. Регулировочно-соединительные устройства и полуфабрикаты должны соответствовать весу инвалида. </w:t>
            </w:r>
            <w:r w:rsidRPr="00C16C3E">
              <w:rPr>
                <w:sz w:val="20"/>
                <w:szCs w:val="20"/>
              </w:rPr>
              <w:t>Срок службы не менее 36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637AA9">
        <w:trPr>
          <w:trHeight w:val="2689"/>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14</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для купания</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suppressAutoHyphens/>
              <w:snapToGrid w:val="0"/>
              <w:jc w:val="both"/>
              <w:rPr>
                <w:sz w:val="20"/>
                <w:szCs w:val="20"/>
                <w:lang w:eastAsia="ar-SA"/>
              </w:rPr>
            </w:pPr>
            <w:r w:rsidRPr="00C16C3E">
              <w:rPr>
                <w:sz w:val="20"/>
                <w:szCs w:val="20"/>
                <w:lang w:eastAsia="ar-SA"/>
              </w:rPr>
              <w:t xml:space="preserve">Протез бедра для купания. Формообразующая часть косметической облицовки должна быть листовой поролон.  Косметическое покрытие облицовки должно быть чулки ортопедические </w:t>
            </w:r>
            <w:proofErr w:type="spellStart"/>
            <w:r w:rsidRPr="00C16C3E">
              <w:rPr>
                <w:sz w:val="20"/>
                <w:szCs w:val="20"/>
                <w:lang w:eastAsia="ar-SA"/>
              </w:rPr>
              <w:t>перлоновые</w:t>
            </w:r>
            <w:proofErr w:type="spellEnd"/>
            <w:r w:rsidRPr="00C16C3E">
              <w:rPr>
                <w:sz w:val="20"/>
                <w:szCs w:val="20"/>
                <w:lang w:eastAsia="ar-SA"/>
              </w:rPr>
              <w:t xml:space="preserve">. Приемная гильза должна быть индивидуальная (две пробные гильзы)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поясное. Регулировочно-соединительное устройство должно соответствовать весу инвалида. Стопа со средней степенью энергосбережения. Модульный полицентрический коленный шарнир с высокой степенью устойчивости и ручным коленным замком. Тип протеза по назначению: для купания. </w:t>
            </w:r>
            <w:r w:rsidRPr="00C16C3E">
              <w:rPr>
                <w:sz w:val="20"/>
                <w:szCs w:val="20"/>
              </w:rPr>
              <w:t>Срок службы не менее 36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1</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8762DB">
        <w:trPr>
          <w:jc w:val="center"/>
        </w:trPr>
        <w:tc>
          <w:tcPr>
            <w:tcW w:w="275" w:type="pct"/>
            <w:tcBorders>
              <w:top w:val="single" w:sz="4" w:space="0" w:color="000000"/>
              <w:left w:val="single" w:sz="4" w:space="0" w:color="000000"/>
              <w:bottom w:val="single" w:sz="4" w:space="0" w:color="auto"/>
              <w:right w:val="nil"/>
            </w:tcBorders>
            <w:shd w:val="clear" w:color="auto" w:fill="auto"/>
          </w:tcPr>
          <w:p w:rsidR="008762DB" w:rsidRPr="00C16C3E" w:rsidRDefault="008762DB" w:rsidP="0095338F">
            <w:pPr>
              <w:suppressAutoHyphens/>
              <w:jc w:val="center"/>
              <w:rPr>
                <w:sz w:val="20"/>
                <w:szCs w:val="20"/>
                <w:lang w:eastAsia="ar-SA"/>
              </w:rPr>
            </w:pPr>
            <w:r w:rsidRPr="00C16C3E">
              <w:rPr>
                <w:sz w:val="20"/>
                <w:szCs w:val="20"/>
                <w:lang w:eastAsia="ar-SA"/>
              </w:rPr>
              <w:t>15</w:t>
            </w:r>
          </w:p>
        </w:tc>
        <w:tc>
          <w:tcPr>
            <w:tcW w:w="705"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C56955">
            <w:pPr>
              <w:suppressAutoHyphens/>
              <w:jc w:val="center"/>
              <w:rPr>
                <w:sz w:val="20"/>
                <w:szCs w:val="20"/>
                <w:lang w:eastAsia="ar-SA"/>
              </w:rPr>
            </w:pPr>
            <w:r w:rsidRPr="00C16C3E">
              <w:rPr>
                <w:sz w:val="20"/>
                <w:szCs w:val="20"/>
                <w:lang w:eastAsia="ar-SA"/>
              </w:rPr>
              <w:t>Протез бедра для купания</w:t>
            </w:r>
          </w:p>
        </w:tc>
        <w:tc>
          <w:tcPr>
            <w:tcW w:w="3037" w:type="pct"/>
            <w:tcBorders>
              <w:top w:val="single" w:sz="4" w:space="0" w:color="000000"/>
              <w:left w:val="single" w:sz="4" w:space="0" w:color="000000"/>
              <w:bottom w:val="single" w:sz="4" w:space="0" w:color="auto"/>
              <w:right w:val="nil"/>
            </w:tcBorders>
            <w:shd w:val="clear" w:color="auto" w:fill="auto"/>
            <w:hideMark/>
          </w:tcPr>
          <w:p w:rsidR="008762DB" w:rsidRPr="00C16C3E" w:rsidRDefault="008762DB" w:rsidP="008E71B9">
            <w:pPr>
              <w:suppressAutoHyphens/>
              <w:snapToGrid w:val="0"/>
              <w:jc w:val="both"/>
              <w:rPr>
                <w:sz w:val="20"/>
                <w:szCs w:val="20"/>
                <w:lang w:eastAsia="ar-SA"/>
              </w:rPr>
            </w:pPr>
            <w:r w:rsidRPr="00C16C3E">
              <w:rPr>
                <w:rFonts w:eastAsia="Lucida Sans Unicode"/>
                <w:kern w:val="2"/>
                <w:sz w:val="20"/>
                <w:szCs w:val="20"/>
              </w:rPr>
              <w:t>Протез бедра для купания. Приемная гильза должна быть индивидуальная (две пробные гильзы). Крепление протеза должно быть поясное. Регулировочно-соединительное устройство должно соответствовать весу инвалида. Комплектующие протеза должны быть влагостойкие. Стопа должна быть с рифленой подошвой с защитой от проскальзывания. Стопа должна быть со средней степенью энергосбережения. Модульный полицентрический коленный шарнир должен быть с высокой степенью устойчивости и ручным коленным замком. Тип протеза по назначению: для купания. Срок службы не менее 36 мес.</w:t>
            </w:r>
          </w:p>
        </w:tc>
        <w:tc>
          <w:tcPr>
            <w:tcW w:w="422" w:type="pct"/>
            <w:tcBorders>
              <w:top w:val="single" w:sz="4" w:space="0" w:color="000000"/>
              <w:left w:val="single" w:sz="4" w:space="0" w:color="000000"/>
              <w:bottom w:val="single" w:sz="4" w:space="0" w:color="000000"/>
              <w:right w:val="nil"/>
            </w:tcBorders>
            <w:shd w:val="clear" w:color="auto" w:fill="auto"/>
            <w:hideMark/>
          </w:tcPr>
          <w:p w:rsidR="008762DB" w:rsidRPr="00C16C3E" w:rsidRDefault="008762DB" w:rsidP="00C56955">
            <w:pPr>
              <w:suppressAutoHyphens/>
              <w:snapToGrid w:val="0"/>
              <w:jc w:val="center"/>
              <w:rPr>
                <w:sz w:val="20"/>
                <w:szCs w:val="20"/>
                <w:lang w:eastAsia="ar-SA"/>
              </w:rPr>
            </w:pPr>
            <w:r w:rsidRPr="00C16C3E">
              <w:rPr>
                <w:sz w:val="20"/>
                <w:szCs w:val="20"/>
                <w:lang w:eastAsia="ar-SA"/>
              </w:rPr>
              <w:t>5</w:t>
            </w:r>
          </w:p>
        </w:tc>
        <w:tc>
          <w:tcPr>
            <w:tcW w:w="561" w:type="pct"/>
            <w:tcBorders>
              <w:top w:val="single" w:sz="4" w:space="0" w:color="000000"/>
              <w:left w:val="single" w:sz="4" w:space="0" w:color="000000"/>
              <w:bottom w:val="single" w:sz="4" w:space="0" w:color="000000"/>
              <w:right w:val="single" w:sz="4" w:space="0" w:color="000000"/>
            </w:tcBorders>
            <w:shd w:val="clear" w:color="auto" w:fill="auto"/>
            <w:hideMark/>
          </w:tcPr>
          <w:p w:rsidR="008762DB" w:rsidRPr="00C16C3E" w:rsidRDefault="008762DB" w:rsidP="00C56955">
            <w:pPr>
              <w:suppressAutoHyphens/>
              <w:snapToGrid w:val="0"/>
              <w:jc w:val="center"/>
              <w:rPr>
                <w:sz w:val="20"/>
                <w:szCs w:val="20"/>
                <w:lang w:eastAsia="ar-SA"/>
              </w:rPr>
            </w:pPr>
            <w:r>
              <w:rPr>
                <w:sz w:val="20"/>
                <w:szCs w:val="20"/>
                <w:lang w:eastAsia="ar-SA"/>
              </w:rPr>
              <w:t>Не менее 12</w:t>
            </w:r>
          </w:p>
        </w:tc>
      </w:tr>
      <w:tr w:rsidR="008762DB" w:rsidRPr="00C16C3E" w:rsidTr="008762DB">
        <w:trPr>
          <w:jc w:val="center"/>
        </w:trPr>
        <w:tc>
          <w:tcPr>
            <w:tcW w:w="4017" w:type="pct"/>
            <w:gridSpan w:val="3"/>
            <w:tcBorders>
              <w:top w:val="single" w:sz="4" w:space="0" w:color="000000"/>
              <w:left w:val="single" w:sz="4" w:space="0" w:color="000000"/>
              <w:bottom w:val="single" w:sz="4" w:space="0" w:color="auto"/>
              <w:right w:val="nil"/>
            </w:tcBorders>
            <w:shd w:val="clear" w:color="auto" w:fill="auto"/>
          </w:tcPr>
          <w:p w:rsidR="008762DB" w:rsidRPr="00C16C3E" w:rsidRDefault="008762DB" w:rsidP="008E71B9">
            <w:pPr>
              <w:suppressAutoHyphens/>
              <w:snapToGrid w:val="0"/>
              <w:jc w:val="both"/>
              <w:rPr>
                <w:sz w:val="20"/>
                <w:szCs w:val="20"/>
              </w:rPr>
            </w:pPr>
            <w:r w:rsidRPr="00C16C3E">
              <w:rPr>
                <w:sz w:val="20"/>
                <w:szCs w:val="20"/>
              </w:rPr>
              <w:t>Итого:</w:t>
            </w:r>
          </w:p>
        </w:tc>
        <w:tc>
          <w:tcPr>
            <w:tcW w:w="422" w:type="pct"/>
            <w:tcBorders>
              <w:top w:val="single" w:sz="4" w:space="0" w:color="000000"/>
              <w:left w:val="single" w:sz="4" w:space="0" w:color="000000"/>
              <w:bottom w:val="single" w:sz="4" w:space="0" w:color="000000"/>
              <w:right w:val="nil"/>
            </w:tcBorders>
            <w:shd w:val="clear" w:color="auto" w:fill="auto"/>
          </w:tcPr>
          <w:p w:rsidR="008762DB" w:rsidRPr="00C16C3E" w:rsidRDefault="008762DB" w:rsidP="00C56955">
            <w:pPr>
              <w:suppressAutoHyphens/>
              <w:snapToGrid w:val="0"/>
              <w:jc w:val="center"/>
              <w:rPr>
                <w:sz w:val="20"/>
                <w:szCs w:val="20"/>
                <w:lang w:eastAsia="ar-SA"/>
              </w:rPr>
            </w:pPr>
            <w:r w:rsidRPr="00C16C3E">
              <w:rPr>
                <w:sz w:val="20"/>
                <w:szCs w:val="20"/>
                <w:lang w:eastAsia="ar-SA"/>
              </w:rPr>
              <w:t>79</w:t>
            </w:r>
          </w:p>
        </w:tc>
        <w:tc>
          <w:tcPr>
            <w:tcW w:w="561" w:type="pct"/>
            <w:tcBorders>
              <w:top w:val="single" w:sz="4" w:space="0" w:color="000000"/>
              <w:left w:val="single" w:sz="4" w:space="0" w:color="000000"/>
              <w:bottom w:val="single" w:sz="4" w:space="0" w:color="000000"/>
              <w:right w:val="single" w:sz="4" w:space="0" w:color="000000"/>
            </w:tcBorders>
            <w:shd w:val="clear" w:color="auto" w:fill="auto"/>
          </w:tcPr>
          <w:p w:rsidR="008762DB" w:rsidRPr="00C16C3E" w:rsidRDefault="008762DB" w:rsidP="00C56955">
            <w:pPr>
              <w:suppressAutoHyphens/>
              <w:snapToGrid w:val="0"/>
              <w:jc w:val="center"/>
              <w:rPr>
                <w:sz w:val="20"/>
                <w:szCs w:val="20"/>
                <w:lang w:eastAsia="ar-SA"/>
              </w:rPr>
            </w:pPr>
            <w:r w:rsidRPr="00C16C3E">
              <w:rPr>
                <w:sz w:val="20"/>
                <w:szCs w:val="20"/>
                <w:lang w:eastAsia="ar-SA"/>
              </w:rPr>
              <w:t>*</w:t>
            </w:r>
          </w:p>
        </w:tc>
      </w:tr>
    </w:tbl>
    <w:p w:rsidR="00A55961" w:rsidRDefault="00A55961" w:rsidP="00A55961">
      <w:bookmarkStart w:id="0" w:name="_GoBack"/>
      <w:bookmarkEnd w:id="0"/>
    </w:p>
    <w:sectPr w:rsidR="00A55961" w:rsidSect="00F32DB6">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346E2B"/>
    <w:rsid w:val="00011153"/>
    <w:rsid w:val="0001442C"/>
    <w:rsid w:val="00016FD6"/>
    <w:rsid w:val="00024426"/>
    <w:rsid w:val="00026504"/>
    <w:rsid w:val="00027B41"/>
    <w:rsid w:val="000400E0"/>
    <w:rsid w:val="00041E30"/>
    <w:rsid w:val="000526FD"/>
    <w:rsid w:val="0006138D"/>
    <w:rsid w:val="000654E1"/>
    <w:rsid w:val="0006672A"/>
    <w:rsid w:val="000729DC"/>
    <w:rsid w:val="00073D40"/>
    <w:rsid w:val="00076DB8"/>
    <w:rsid w:val="000802A5"/>
    <w:rsid w:val="00081FED"/>
    <w:rsid w:val="0008360D"/>
    <w:rsid w:val="00085A49"/>
    <w:rsid w:val="0009271B"/>
    <w:rsid w:val="000928B1"/>
    <w:rsid w:val="00095901"/>
    <w:rsid w:val="00095D84"/>
    <w:rsid w:val="00097107"/>
    <w:rsid w:val="000A401A"/>
    <w:rsid w:val="000B1C4B"/>
    <w:rsid w:val="000B73F9"/>
    <w:rsid w:val="000C0545"/>
    <w:rsid w:val="000C0F42"/>
    <w:rsid w:val="000D2A53"/>
    <w:rsid w:val="000E0BB6"/>
    <w:rsid w:val="000E0E19"/>
    <w:rsid w:val="000E7672"/>
    <w:rsid w:val="000E7ED0"/>
    <w:rsid w:val="000F6DE8"/>
    <w:rsid w:val="001031C3"/>
    <w:rsid w:val="00136BCE"/>
    <w:rsid w:val="001432D1"/>
    <w:rsid w:val="00150305"/>
    <w:rsid w:val="001528B2"/>
    <w:rsid w:val="001534E8"/>
    <w:rsid w:val="001614F3"/>
    <w:rsid w:val="00166C5E"/>
    <w:rsid w:val="00167ED1"/>
    <w:rsid w:val="00177A85"/>
    <w:rsid w:val="001A0A73"/>
    <w:rsid w:val="001A34F2"/>
    <w:rsid w:val="001B04F3"/>
    <w:rsid w:val="001B3353"/>
    <w:rsid w:val="001B567C"/>
    <w:rsid w:val="001C49D8"/>
    <w:rsid w:val="001C6823"/>
    <w:rsid w:val="001D0C19"/>
    <w:rsid w:val="001D1C42"/>
    <w:rsid w:val="001E185A"/>
    <w:rsid w:val="001E60BE"/>
    <w:rsid w:val="001F363A"/>
    <w:rsid w:val="001F7464"/>
    <w:rsid w:val="001F777D"/>
    <w:rsid w:val="002053A4"/>
    <w:rsid w:val="00207430"/>
    <w:rsid w:val="0021305F"/>
    <w:rsid w:val="0022067A"/>
    <w:rsid w:val="00232D2F"/>
    <w:rsid w:val="00245E10"/>
    <w:rsid w:val="002469E4"/>
    <w:rsid w:val="002472A1"/>
    <w:rsid w:val="002552CB"/>
    <w:rsid w:val="00271451"/>
    <w:rsid w:val="002729D3"/>
    <w:rsid w:val="002736E9"/>
    <w:rsid w:val="00280A7B"/>
    <w:rsid w:val="00283B30"/>
    <w:rsid w:val="002850AB"/>
    <w:rsid w:val="00291B4E"/>
    <w:rsid w:val="00293555"/>
    <w:rsid w:val="002A002E"/>
    <w:rsid w:val="002A3E99"/>
    <w:rsid w:val="002A4F22"/>
    <w:rsid w:val="002A5850"/>
    <w:rsid w:val="002A7341"/>
    <w:rsid w:val="002C32C7"/>
    <w:rsid w:val="002E02A4"/>
    <w:rsid w:val="002E16BD"/>
    <w:rsid w:val="002E4840"/>
    <w:rsid w:val="002E5AFB"/>
    <w:rsid w:val="002E5CDD"/>
    <w:rsid w:val="002E71FA"/>
    <w:rsid w:val="002F04D2"/>
    <w:rsid w:val="002F129E"/>
    <w:rsid w:val="002F2046"/>
    <w:rsid w:val="002F2320"/>
    <w:rsid w:val="002F5E14"/>
    <w:rsid w:val="003029AB"/>
    <w:rsid w:val="003068BE"/>
    <w:rsid w:val="00310575"/>
    <w:rsid w:val="003212A6"/>
    <w:rsid w:val="00331002"/>
    <w:rsid w:val="00331A83"/>
    <w:rsid w:val="00337FDB"/>
    <w:rsid w:val="00346E2B"/>
    <w:rsid w:val="00355781"/>
    <w:rsid w:val="003559AC"/>
    <w:rsid w:val="00361652"/>
    <w:rsid w:val="00364584"/>
    <w:rsid w:val="00366B88"/>
    <w:rsid w:val="00380A14"/>
    <w:rsid w:val="00381C74"/>
    <w:rsid w:val="00385A37"/>
    <w:rsid w:val="0038742C"/>
    <w:rsid w:val="0039280D"/>
    <w:rsid w:val="003A357D"/>
    <w:rsid w:val="003A45B3"/>
    <w:rsid w:val="003B4AC3"/>
    <w:rsid w:val="003C28DB"/>
    <w:rsid w:val="003D1894"/>
    <w:rsid w:val="003D3D66"/>
    <w:rsid w:val="003D5248"/>
    <w:rsid w:val="003E0B5A"/>
    <w:rsid w:val="003E165E"/>
    <w:rsid w:val="003E226D"/>
    <w:rsid w:val="003F05FA"/>
    <w:rsid w:val="003F390B"/>
    <w:rsid w:val="003F701D"/>
    <w:rsid w:val="0040604C"/>
    <w:rsid w:val="00406F5F"/>
    <w:rsid w:val="0040748A"/>
    <w:rsid w:val="0042190F"/>
    <w:rsid w:val="004252B0"/>
    <w:rsid w:val="00430FF1"/>
    <w:rsid w:val="00443722"/>
    <w:rsid w:val="004623D2"/>
    <w:rsid w:val="00470646"/>
    <w:rsid w:val="00480360"/>
    <w:rsid w:val="00484CBC"/>
    <w:rsid w:val="0048619A"/>
    <w:rsid w:val="00493504"/>
    <w:rsid w:val="00495C1A"/>
    <w:rsid w:val="00496146"/>
    <w:rsid w:val="004A376B"/>
    <w:rsid w:val="004A6061"/>
    <w:rsid w:val="004B3975"/>
    <w:rsid w:val="004B3DF6"/>
    <w:rsid w:val="004B696A"/>
    <w:rsid w:val="004C1B6F"/>
    <w:rsid w:val="004D0A3E"/>
    <w:rsid w:val="004D2072"/>
    <w:rsid w:val="004D3B24"/>
    <w:rsid w:val="004D7C2B"/>
    <w:rsid w:val="004E2829"/>
    <w:rsid w:val="004E48A0"/>
    <w:rsid w:val="004E58AF"/>
    <w:rsid w:val="00502A1A"/>
    <w:rsid w:val="00514F39"/>
    <w:rsid w:val="00521573"/>
    <w:rsid w:val="00525D22"/>
    <w:rsid w:val="00532714"/>
    <w:rsid w:val="00534CDD"/>
    <w:rsid w:val="00544C26"/>
    <w:rsid w:val="0054692F"/>
    <w:rsid w:val="00580D60"/>
    <w:rsid w:val="00586EF4"/>
    <w:rsid w:val="0059309F"/>
    <w:rsid w:val="00596073"/>
    <w:rsid w:val="005A24D5"/>
    <w:rsid w:val="005B05F1"/>
    <w:rsid w:val="005B545A"/>
    <w:rsid w:val="005D395B"/>
    <w:rsid w:val="005D69A0"/>
    <w:rsid w:val="005E09A8"/>
    <w:rsid w:val="005E1961"/>
    <w:rsid w:val="005F2B02"/>
    <w:rsid w:val="006038AF"/>
    <w:rsid w:val="00611A2A"/>
    <w:rsid w:val="00613274"/>
    <w:rsid w:val="00613C73"/>
    <w:rsid w:val="006162D6"/>
    <w:rsid w:val="0062140E"/>
    <w:rsid w:val="00626A94"/>
    <w:rsid w:val="00630FDC"/>
    <w:rsid w:val="00637AA9"/>
    <w:rsid w:val="0065328D"/>
    <w:rsid w:val="00653C97"/>
    <w:rsid w:val="00653E4F"/>
    <w:rsid w:val="0066458E"/>
    <w:rsid w:val="00664C93"/>
    <w:rsid w:val="00671871"/>
    <w:rsid w:val="0067462D"/>
    <w:rsid w:val="006806D1"/>
    <w:rsid w:val="00684671"/>
    <w:rsid w:val="00691259"/>
    <w:rsid w:val="00692E66"/>
    <w:rsid w:val="00693909"/>
    <w:rsid w:val="006A1121"/>
    <w:rsid w:val="006A3D46"/>
    <w:rsid w:val="006B2A90"/>
    <w:rsid w:val="006B3ED4"/>
    <w:rsid w:val="006C6C2B"/>
    <w:rsid w:val="006C6D0E"/>
    <w:rsid w:val="006D1D7B"/>
    <w:rsid w:val="006D4639"/>
    <w:rsid w:val="006D5A88"/>
    <w:rsid w:val="006E0B0C"/>
    <w:rsid w:val="006E4F38"/>
    <w:rsid w:val="006F31C6"/>
    <w:rsid w:val="006F558E"/>
    <w:rsid w:val="007036F4"/>
    <w:rsid w:val="00710C6E"/>
    <w:rsid w:val="00711D3A"/>
    <w:rsid w:val="00720E34"/>
    <w:rsid w:val="00723168"/>
    <w:rsid w:val="00733E28"/>
    <w:rsid w:val="00736DF6"/>
    <w:rsid w:val="007428A0"/>
    <w:rsid w:val="007442B3"/>
    <w:rsid w:val="00750060"/>
    <w:rsid w:val="00757E40"/>
    <w:rsid w:val="00767F9E"/>
    <w:rsid w:val="00772AE8"/>
    <w:rsid w:val="007736B9"/>
    <w:rsid w:val="007818E1"/>
    <w:rsid w:val="00783542"/>
    <w:rsid w:val="00784883"/>
    <w:rsid w:val="007916F5"/>
    <w:rsid w:val="007A1DBF"/>
    <w:rsid w:val="007A3354"/>
    <w:rsid w:val="007A4AA2"/>
    <w:rsid w:val="007C3B66"/>
    <w:rsid w:val="007C4B29"/>
    <w:rsid w:val="007D09F5"/>
    <w:rsid w:val="007D66C6"/>
    <w:rsid w:val="007E0452"/>
    <w:rsid w:val="007E06F8"/>
    <w:rsid w:val="007E5070"/>
    <w:rsid w:val="007F4C40"/>
    <w:rsid w:val="007F4EE3"/>
    <w:rsid w:val="00800E7B"/>
    <w:rsid w:val="0081767A"/>
    <w:rsid w:val="00822983"/>
    <w:rsid w:val="00837F3E"/>
    <w:rsid w:val="008414BC"/>
    <w:rsid w:val="00863879"/>
    <w:rsid w:val="008724B4"/>
    <w:rsid w:val="008762DB"/>
    <w:rsid w:val="00882FE4"/>
    <w:rsid w:val="00884380"/>
    <w:rsid w:val="00890FE8"/>
    <w:rsid w:val="008967EB"/>
    <w:rsid w:val="008A4EDB"/>
    <w:rsid w:val="008A5F5B"/>
    <w:rsid w:val="008B646D"/>
    <w:rsid w:val="008C6B9A"/>
    <w:rsid w:val="008D1199"/>
    <w:rsid w:val="008D254D"/>
    <w:rsid w:val="008E21A6"/>
    <w:rsid w:val="008E4658"/>
    <w:rsid w:val="008E56F0"/>
    <w:rsid w:val="008E71B9"/>
    <w:rsid w:val="008F3CFB"/>
    <w:rsid w:val="008F5647"/>
    <w:rsid w:val="00900B3E"/>
    <w:rsid w:val="00906379"/>
    <w:rsid w:val="009172D9"/>
    <w:rsid w:val="00917E58"/>
    <w:rsid w:val="00920166"/>
    <w:rsid w:val="00920B0F"/>
    <w:rsid w:val="00921AF5"/>
    <w:rsid w:val="00925FAA"/>
    <w:rsid w:val="0092615C"/>
    <w:rsid w:val="00936D8F"/>
    <w:rsid w:val="009407F1"/>
    <w:rsid w:val="00942932"/>
    <w:rsid w:val="009456F3"/>
    <w:rsid w:val="009519BD"/>
    <w:rsid w:val="0095558C"/>
    <w:rsid w:val="00964192"/>
    <w:rsid w:val="009742F9"/>
    <w:rsid w:val="00977C21"/>
    <w:rsid w:val="009854FC"/>
    <w:rsid w:val="009A4208"/>
    <w:rsid w:val="009A4BA7"/>
    <w:rsid w:val="009A607D"/>
    <w:rsid w:val="009B5930"/>
    <w:rsid w:val="009C1A0A"/>
    <w:rsid w:val="009C3E42"/>
    <w:rsid w:val="009C5618"/>
    <w:rsid w:val="009D01CD"/>
    <w:rsid w:val="009D0D6F"/>
    <w:rsid w:val="009D4455"/>
    <w:rsid w:val="009D598E"/>
    <w:rsid w:val="009D6E1E"/>
    <w:rsid w:val="009F2E6B"/>
    <w:rsid w:val="009F448F"/>
    <w:rsid w:val="00A011C6"/>
    <w:rsid w:val="00A133D6"/>
    <w:rsid w:val="00A15540"/>
    <w:rsid w:val="00A24C18"/>
    <w:rsid w:val="00A27DE2"/>
    <w:rsid w:val="00A32394"/>
    <w:rsid w:val="00A353D0"/>
    <w:rsid w:val="00A36EC3"/>
    <w:rsid w:val="00A43D21"/>
    <w:rsid w:val="00A4574B"/>
    <w:rsid w:val="00A45C5C"/>
    <w:rsid w:val="00A47FC4"/>
    <w:rsid w:val="00A55961"/>
    <w:rsid w:val="00A565CF"/>
    <w:rsid w:val="00A57385"/>
    <w:rsid w:val="00A752C6"/>
    <w:rsid w:val="00A772BE"/>
    <w:rsid w:val="00A876CD"/>
    <w:rsid w:val="00A8777B"/>
    <w:rsid w:val="00A925E1"/>
    <w:rsid w:val="00A932DA"/>
    <w:rsid w:val="00AA44E8"/>
    <w:rsid w:val="00AA58DF"/>
    <w:rsid w:val="00AB6AC1"/>
    <w:rsid w:val="00AC3CC4"/>
    <w:rsid w:val="00AC782D"/>
    <w:rsid w:val="00AD03B9"/>
    <w:rsid w:val="00AD3FEE"/>
    <w:rsid w:val="00AD5785"/>
    <w:rsid w:val="00AD69E1"/>
    <w:rsid w:val="00AE2280"/>
    <w:rsid w:val="00AE7041"/>
    <w:rsid w:val="00AE7DA2"/>
    <w:rsid w:val="00AF3B28"/>
    <w:rsid w:val="00B11DC7"/>
    <w:rsid w:val="00B12527"/>
    <w:rsid w:val="00B26F1F"/>
    <w:rsid w:val="00B31978"/>
    <w:rsid w:val="00B34CE1"/>
    <w:rsid w:val="00B53311"/>
    <w:rsid w:val="00B63D7F"/>
    <w:rsid w:val="00B675DC"/>
    <w:rsid w:val="00B71A75"/>
    <w:rsid w:val="00B72189"/>
    <w:rsid w:val="00B93484"/>
    <w:rsid w:val="00B9547A"/>
    <w:rsid w:val="00B968E5"/>
    <w:rsid w:val="00BA1B53"/>
    <w:rsid w:val="00BA1D8D"/>
    <w:rsid w:val="00BA2407"/>
    <w:rsid w:val="00BB453E"/>
    <w:rsid w:val="00BB47C4"/>
    <w:rsid w:val="00BB7437"/>
    <w:rsid w:val="00BB7D48"/>
    <w:rsid w:val="00BC4B7D"/>
    <w:rsid w:val="00BC4C69"/>
    <w:rsid w:val="00BC7C90"/>
    <w:rsid w:val="00BD02C6"/>
    <w:rsid w:val="00BE222A"/>
    <w:rsid w:val="00C0371E"/>
    <w:rsid w:val="00C12924"/>
    <w:rsid w:val="00C14ED8"/>
    <w:rsid w:val="00C16C3E"/>
    <w:rsid w:val="00C20776"/>
    <w:rsid w:val="00C21B89"/>
    <w:rsid w:val="00C27D05"/>
    <w:rsid w:val="00C30921"/>
    <w:rsid w:val="00C376EC"/>
    <w:rsid w:val="00C413BB"/>
    <w:rsid w:val="00C42751"/>
    <w:rsid w:val="00C470DE"/>
    <w:rsid w:val="00C52BC3"/>
    <w:rsid w:val="00C540F1"/>
    <w:rsid w:val="00C555D6"/>
    <w:rsid w:val="00C60C7E"/>
    <w:rsid w:val="00C91B8D"/>
    <w:rsid w:val="00CA419F"/>
    <w:rsid w:val="00CB4B42"/>
    <w:rsid w:val="00CB5086"/>
    <w:rsid w:val="00CB56E7"/>
    <w:rsid w:val="00CC08BB"/>
    <w:rsid w:val="00CC2D76"/>
    <w:rsid w:val="00CC6212"/>
    <w:rsid w:val="00CD03E1"/>
    <w:rsid w:val="00CD7114"/>
    <w:rsid w:val="00CE0CAD"/>
    <w:rsid w:val="00CE4196"/>
    <w:rsid w:val="00CE42BF"/>
    <w:rsid w:val="00D022E3"/>
    <w:rsid w:val="00D075BF"/>
    <w:rsid w:val="00D33260"/>
    <w:rsid w:val="00D343AC"/>
    <w:rsid w:val="00D355C9"/>
    <w:rsid w:val="00D426AB"/>
    <w:rsid w:val="00D46FC3"/>
    <w:rsid w:val="00D52F63"/>
    <w:rsid w:val="00D54536"/>
    <w:rsid w:val="00D642D9"/>
    <w:rsid w:val="00D66144"/>
    <w:rsid w:val="00D81DF1"/>
    <w:rsid w:val="00D827E8"/>
    <w:rsid w:val="00D83604"/>
    <w:rsid w:val="00D85B20"/>
    <w:rsid w:val="00D95546"/>
    <w:rsid w:val="00DA3C86"/>
    <w:rsid w:val="00DB38D3"/>
    <w:rsid w:val="00DC0ACF"/>
    <w:rsid w:val="00DC5CC0"/>
    <w:rsid w:val="00DD1D47"/>
    <w:rsid w:val="00DD6184"/>
    <w:rsid w:val="00DE3E8E"/>
    <w:rsid w:val="00DE4610"/>
    <w:rsid w:val="00DE56F2"/>
    <w:rsid w:val="00DE604C"/>
    <w:rsid w:val="00DF3419"/>
    <w:rsid w:val="00DF4E71"/>
    <w:rsid w:val="00DF7420"/>
    <w:rsid w:val="00E052C3"/>
    <w:rsid w:val="00E07A5B"/>
    <w:rsid w:val="00E07F6A"/>
    <w:rsid w:val="00E11629"/>
    <w:rsid w:val="00E135CF"/>
    <w:rsid w:val="00E14833"/>
    <w:rsid w:val="00E156A1"/>
    <w:rsid w:val="00E159C2"/>
    <w:rsid w:val="00E348E6"/>
    <w:rsid w:val="00E424DB"/>
    <w:rsid w:val="00E425A7"/>
    <w:rsid w:val="00E509B3"/>
    <w:rsid w:val="00E52751"/>
    <w:rsid w:val="00E542F0"/>
    <w:rsid w:val="00E64AB5"/>
    <w:rsid w:val="00E64C6E"/>
    <w:rsid w:val="00E65C77"/>
    <w:rsid w:val="00E77257"/>
    <w:rsid w:val="00E952DA"/>
    <w:rsid w:val="00EA0E05"/>
    <w:rsid w:val="00EA2946"/>
    <w:rsid w:val="00EA2C0B"/>
    <w:rsid w:val="00EB782D"/>
    <w:rsid w:val="00EC3A74"/>
    <w:rsid w:val="00EC49D7"/>
    <w:rsid w:val="00EC5086"/>
    <w:rsid w:val="00EC53A1"/>
    <w:rsid w:val="00ED2E73"/>
    <w:rsid w:val="00EE6F87"/>
    <w:rsid w:val="00EF0FE5"/>
    <w:rsid w:val="00EF5023"/>
    <w:rsid w:val="00F020B7"/>
    <w:rsid w:val="00F23AFB"/>
    <w:rsid w:val="00F32DB6"/>
    <w:rsid w:val="00F4170C"/>
    <w:rsid w:val="00F53F99"/>
    <w:rsid w:val="00F57DFD"/>
    <w:rsid w:val="00F63832"/>
    <w:rsid w:val="00F63FAB"/>
    <w:rsid w:val="00F70DCE"/>
    <w:rsid w:val="00F755A8"/>
    <w:rsid w:val="00F92E2A"/>
    <w:rsid w:val="00FA00CC"/>
    <w:rsid w:val="00FA15D5"/>
    <w:rsid w:val="00FA5FB0"/>
    <w:rsid w:val="00FB0976"/>
    <w:rsid w:val="00FB3497"/>
    <w:rsid w:val="00FB5F16"/>
    <w:rsid w:val="00FC39E2"/>
    <w:rsid w:val="00FC60E6"/>
    <w:rsid w:val="00FC7220"/>
    <w:rsid w:val="00FD1B1F"/>
    <w:rsid w:val="00FD2DE6"/>
    <w:rsid w:val="00FD3006"/>
    <w:rsid w:val="00FE0ACE"/>
    <w:rsid w:val="00FE40C2"/>
    <w:rsid w:val="00FF32D4"/>
    <w:rsid w:val="00FF7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 w:type="paragraph" w:customStyle="1" w:styleId="2-11">
    <w:name w:val="содержание2-11"/>
    <w:basedOn w:val="a"/>
    <w:rsid w:val="00337FDB"/>
    <w:pPr>
      <w:spacing w:after="60"/>
      <w:jc w:val="both"/>
    </w:pPr>
    <w:rPr>
      <w:lang w:eastAsia="ar-SA"/>
    </w:rPr>
  </w:style>
  <w:style w:type="paragraph" w:styleId="a6">
    <w:name w:val="Body Text"/>
    <w:aliases w:val=" Знак2,body text,A=&gt;2=&gt;9 B5:AB,Body Text Char, Знак,BO,ID,body indent,ändrad, ändrad,EHPT,Body Text2,bt,heading_txt,bodytxy2,t,subtitle2,Orig Qstn,Original Question,doc1,Block text,CV Body Text,BODY TEXT,bul,heading3,3 indent,heading31"/>
    <w:basedOn w:val="a"/>
    <w:link w:val="a7"/>
    <w:rsid w:val="000D2A53"/>
    <w:pPr>
      <w:spacing w:after="120"/>
      <w:jc w:val="both"/>
    </w:pPr>
  </w:style>
  <w:style w:type="character" w:customStyle="1" w:styleId="a7">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6"/>
    <w:rsid w:val="000D2A53"/>
    <w:rPr>
      <w:rFonts w:ascii="Times New Roman" w:eastAsia="Times New Roman" w:hAnsi="Times New Roman" w:cs="Times New Roman"/>
      <w:sz w:val="24"/>
      <w:szCs w:val="24"/>
      <w:lang w:eastAsia="ru-RU"/>
    </w:rPr>
  </w:style>
  <w:style w:type="paragraph" w:customStyle="1" w:styleId="ConsPlusNormal">
    <w:name w:val="ConsPlusNormal"/>
    <w:next w:val="a"/>
    <w:rsid w:val="000D2A53"/>
    <w:pPr>
      <w:widowControl w:val="0"/>
      <w:suppressAutoHyphens/>
      <w:autoSpaceDE w:val="0"/>
      <w:spacing w:after="0" w:line="240" w:lineRule="auto"/>
      <w:ind w:firstLine="720"/>
    </w:pPr>
    <w:rPr>
      <w:rFonts w:ascii="Arial" w:eastAsia="Arial" w:hAnsi="Arial" w:cs="Times New Roman"/>
      <w:sz w:val="20"/>
      <w:szCs w:val="20"/>
      <w:lang w:eastAsia="ru-RU"/>
    </w:rPr>
  </w:style>
  <w:style w:type="paragraph" w:styleId="a8">
    <w:name w:val="Balloon Text"/>
    <w:basedOn w:val="a"/>
    <w:link w:val="a9"/>
    <w:uiPriority w:val="99"/>
    <w:semiHidden/>
    <w:unhideWhenUsed/>
    <w:rsid w:val="00925FAA"/>
    <w:rPr>
      <w:rFonts w:ascii="Tahoma" w:hAnsi="Tahoma" w:cs="Tahoma"/>
      <w:sz w:val="16"/>
      <w:szCs w:val="16"/>
    </w:rPr>
  </w:style>
  <w:style w:type="character" w:customStyle="1" w:styleId="a9">
    <w:name w:val="Текст выноски Знак"/>
    <w:basedOn w:val="a0"/>
    <w:link w:val="a8"/>
    <w:uiPriority w:val="99"/>
    <w:semiHidden/>
    <w:rsid w:val="00925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93650">
      <w:bodyDiv w:val="1"/>
      <w:marLeft w:val="0"/>
      <w:marRight w:val="0"/>
      <w:marTop w:val="0"/>
      <w:marBottom w:val="0"/>
      <w:divBdr>
        <w:top w:val="none" w:sz="0" w:space="0" w:color="auto"/>
        <w:left w:val="none" w:sz="0" w:space="0" w:color="auto"/>
        <w:bottom w:val="none" w:sz="0" w:space="0" w:color="auto"/>
        <w:right w:val="none" w:sz="0" w:space="0" w:color="auto"/>
      </w:divBdr>
    </w:div>
    <w:div w:id="1357463038">
      <w:bodyDiv w:val="1"/>
      <w:marLeft w:val="0"/>
      <w:marRight w:val="0"/>
      <w:marTop w:val="0"/>
      <w:marBottom w:val="0"/>
      <w:divBdr>
        <w:top w:val="none" w:sz="0" w:space="0" w:color="auto"/>
        <w:left w:val="none" w:sz="0" w:space="0" w:color="auto"/>
        <w:bottom w:val="none" w:sz="0" w:space="0" w:color="auto"/>
        <w:right w:val="none" w:sz="0" w:space="0" w:color="auto"/>
      </w:divBdr>
    </w:div>
    <w:div w:id="1620642140">
      <w:bodyDiv w:val="1"/>
      <w:marLeft w:val="0"/>
      <w:marRight w:val="0"/>
      <w:marTop w:val="0"/>
      <w:marBottom w:val="0"/>
      <w:divBdr>
        <w:top w:val="none" w:sz="0" w:space="0" w:color="auto"/>
        <w:left w:val="none" w:sz="0" w:space="0" w:color="auto"/>
        <w:bottom w:val="none" w:sz="0" w:space="0" w:color="auto"/>
        <w:right w:val="none" w:sz="0" w:space="0" w:color="auto"/>
      </w:divBdr>
    </w:div>
    <w:div w:id="181698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ED951-E34C-44FA-976F-6A991A78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5</Pages>
  <Words>2661</Words>
  <Characters>15173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Черябкина Ирина Александровна</cp:lastModifiedBy>
  <cp:revision>496</cp:revision>
  <cp:lastPrinted>2022-04-25T13:01:00Z</cp:lastPrinted>
  <dcterms:created xsi:type="dcterms:W3CDTF">2018-10-04T14:34:00Z</dcterms:created>
  <dcterms:modified xsi:type="dcterms:W3CDTF">2022-12-01T07:10:00Z</dcterms:modified>
</cp:coreProperties>
</file>