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8871CA" w:rsidRDefault="005F68F3">
      <w:pPr>
        <w:pStyle w:val="Standard"/>
        <w:jc w:val="right"/>
        <w:rPr>
          <w:rFonts w:cs="Times New Roman"/>
          <w:sz w:val="20"/>
          <w:szCs w:val="20"/>
        </w:rPr>
      </w:pPr>
      <w:r w:rsidRPr="008871CA">
        <w:rPr>
          <w:rFonts w:cs="Times New Roman"/>
          <w:sz w:val="20"/>
          <w:szCs w:val="20"/>
        </w:rPr>
        <w:t xml:space="preserve">Приложение № </w:t>
      </w:r>
      <w:r w:rsidR="002236B5">
        <w:rPr>
          <w:rFonts w:cs="Times New Roman"/>
          <w:sz w:val="20"/>
          <w:szCs w:val="20"/>
        </w:rPr>
        <w:t>1</w:t>
      </w:r>
    </w:p>
    <w:p w:rsidR="00741559" w:rsidRPr="008871CA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71CA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8871CA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8871CA" w:rsidRDefault="005F68F3">
      <w:pPr>
        <w:pStyle w:val="Standard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871CA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984719" w:rsidRPr="008871CA" w:rsidRDefault="00984719" w:rsidP="00984719">
      <w:p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Выполнение работ по протезированию должно соответствовать назначениям </w:t>
      </w:r>
      <w:proofErr w:type="gramStart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медико-социальной</w:t>
      </w:r>
      <w:proofErr w:type="gramEnd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экспертизы, а также врача. При выполнении работ по протезированию должен быть осуществлен контроль при примерке и обесп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е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чении изделиями. Инвалиды не должны испытывать болей, избыточного давления, обуславливающих нарушения кр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о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вообращения. </w:t>
      </w:r>
    </w:p>
    <w:p w:rsidR="00984719" w:rsidRPr="008871CA" w:rsidRDefault="00984719" w:rsidP="00984719">
      <w:p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Выполняемые работы должны включать комплекс медицинских, технических и социальных мероприятий, пров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о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димых с инвалидами, имеющими нарушения опорно-двигательного аппарата травматологического, орт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о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педического, неврологического и иного характера заболеваний, а также других дефектов организма и обеспечивать лечение, восст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а</w:t>
      </w:r>
      <w:r w:rsidRPr="008871CA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 xml:space="preserve">новление и компенсацию утраченных функций организма и неустранимых анатомических дефектов и деформаций. </w:t>
      </w:r>
    </w:p>
    <w:p w:rsidR="00984719" w:rsidRPr="008871CA" w:rsidRDefault="00984719" w:rsidP="00984719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Изделие должно соответствовать следующим государственным стандартам (ГОСТ), действующим на территории Российской Федерации:</w:t>
      </w:r>
    </w:p>
    <w:p w:rsidR="00984719" w:rsidRPr="008871CA" w:rsidRDefault="00984719" w:rsidP="00984719">
      <w:pPr>
        <w:jc w:val="both"/>
        <w:rPr>
          <w:rFonts w:ascii="Times New Roman" w:hAnsi="Times New Roman" w:cs="Times New Roman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- ГОСТ </w:t>
      </w:r>
      <w:proofErr w:type="gramStart"/>
      <w:r w:rsidRPr="008871C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871CA">
        <w:rPr>
          <w:rFonts w:ascii="Times New Roman" w:hAnsi="Times New Roman" w:cs="Times New Roman"/>
          <w:sz w:val="20"/>
          <w:szCs w:val="20"/>
        </w:rPr>
        <w:t xml:space="preserve"> 56138-2021 «Протезы верхних конечностей. Технические требования»;</w:t>
      </w:r>
    </w:p>
    <w:p w:rsidR="00984719" w:rsidRPr="008871CA" w:rsidRDefault="00984719" w:rsidP="00984719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- </w:t>
      </w:r>
      <w:r w:rsidRPr="008871CA">
        <w:rPr>
          <w:rFonts w:ascii="Times New Roman" w:eastAsiaTheme="minorHAnsi" w:hAnsi="Times New Roman" w:cs="Times New Roman"/>
          <w:sz w:val="20"/>
          <w:szCs w:val="20"/>
        </w:rPr>
        <w:t xml:space="preserve">ГОСТ </w:t>
      </w:r>
      <w:proofErr w:type="gramStart"/>
      <w:r w:rsidRPr="008871CA">
        <w:rPr>
          <w:rFonts w:ascii="Times New Roman" w:eastAsiaTheme="minorHAnsi" w:hAnsi="Times New Roman" w:cs="Times New Roman"/>
          <w:sz w:val="20"/>
          <w:szCs w:val="20"/>
        </w:rPr>
        <w:t>Р</w:t>
      </w:r>
      <w:proofErr w:type="gramEnd"/>
      <w:r w:rsidRPr="008871CA">
        <w:rPr>
          <w:rFonts w:ascii="Times New Roman" w:eastAsiaTheme="minorHAnsi" w:hAnsi="Times New Roman" w:cs="Times New Roman"/>
          <w:sz w:val="20"/>
          <w:szCs w:val="20"/>
        </w:rPr>
        <w:t xml:space="preserve"> 51819-2022</w:t>
      </w:r>
      <w:r w:rsidRPr="008871CA">
        <w:rPr>
          <w:rFonts w:ascii="Times New Roman" w:hAnsi="Times New Roman" w:cs="Times New Roman"/>
          <w:sz w:val="20"/>
          <w:szCs w:val="20"/>
        </w:rPr>
        <w:t xml:space="preserve"> «Протезирование и </w:t>
      </w:r>
      <w:proofErr w:type="spellStart"/>
      <w:r w:rsidRPr="008871CA">
        <w:rPr>
          <w:rFonts w:ascii="Times New Roman" w:hAnsi="Times New Roman" w:cs="Times New Roman"/>
          <w:sz w:val="20"/>
          <w:szCs w:val="20"/>
        </w:rPr>
        <w:t>ортезирование</w:t>
      </w:r>
      <w:proofErr w:type="spellEnd"/>
      <w:r w:rsidRPr="008871CA">
        <w:rPr>
          <w:rFonts w:ascii="Times New Roman" w:hAnsi="Times New Roman" w:cs="Times New Roman"/>
          <w:sz w:val="20"/>
          <w:szCs w:val="20"/>
        </w:rPr>
        <w:t xml:space="preserve"> верхних и нижних конечностей. </w:t>
      </w:r>
      <w:r w:rsidRPr="008871CA">
        <w:rPr>
          <w:rFonts w:ascii="Times New Roman" w:eastAsiaTheme="minorHAnsi" w:hAnsi="Times New Roman" w:cs="Times New Roman"/>
          <w:kern w:val="0"/>
          <w:sz w:val="20"/>
          <w:szCs w:val="20"/>
        </w:rPr>
        <w:t>Термины и определ</w:t>
      </w:r>
      <w:r w:rsidRPr="008871CA">
        <w:rPr>
          <w:rFonts w:ascii="Times New Roman" w:eastAsiaTheme="minorHAnsi" w:hAnsi="Times New Roman" w:cs="Times New Roman"/>
          <w:kern w:val="0"/>
          <w:sz w:val="20"/>
          <w:szCs w:val="20"/>
        </w:rPr>
        <w:t>е</w:t>
      </w:r>
      <w:r w:rsidRPr="008871CA">
        <w:rPr>
          <w:rFonts w:ascii="Times New Roman" w:eastAsiaTheme="minorHAnsi" w:hAnsi="Times New Roman" w:cs="Times New Roman"/>
          <w:kern w:val="0"/>
          <w:sz w:val="20"/>
          <w:szCs w:val="20"/>
        </w:rPr>
        <w:t>ния</w:t>
      </w:r>
      <w:r w:rsidRPr="008871CA">
        <w:rPr>
          <w:rFonts w:ascii="Times New Roman" w:hAnsi="Times New Roman" w:cs="Times New Roman"/>
          <w:sz w:val="20"/>
          <w:szCs w:val="20"/>
        </w:rPr>
        <w:t>»;</w:t>
      </w:r>
    </w:p>
    <w:p w:rsidR="004F1F7E" w:rsidRPr="008871CA" w:rsidRDefault="00984719" w:rsidP="00984719">
      <w:pPr>
        <w:spacing w:line="228" w:lineRule="auto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8871CA">
        <w:rPr>
          <w:rFonts w:ascii="Times New Roman" w:hAnsi="Times New Roman" w:cs="Times New Roman"/>
          <w:sz w:val="20"/>
          <w:szCs w:val="20"/>
        </w:rPr>
        <w:t xml:space="preserve"> - ГОСТ </w:t>
      </w:r>
      <w:proofErr w:type="gramStart"/>
      <w:r w:rsidRPr="008871C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871CA">
        <w:rPr>
          <w:rFonts w:ascii="Times New Roman" w:hAnsi="Times New Roman" w:cs="Times New Roman"/>
          <w:sz w:val="20"/>
          <w:szCs w:val="20"/>
        </w:rPr>
        <w:t xml:space="preserve"> 58267-2018 «Протезы наружные верхних конечностей. Термины и определения. Классификация».</w:t>
      </w:r>
    </w:p>
    <w:p w:rsidR="004F1F7E" w:rsidRPr="008871CA" w:rsidRDefault="004F1F7E" w:rsidP="005879F8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3"/>
        <w:tblW w:w="10314" w:type="dxa"/>
        <w:tblLook w:val="04A0" w:firstRow="1" w:lastRow="0" w:firstColumn="1" w:lastColumn="0" w:noHBand="0" w:noVBand="1"/>
      </w:tblPr>
      <w:tblGrid>
        <w:gridCol w:w="2093"/>
        <w:gridCol w:w="6946"/>
        <w:gridCol w:w="1275"/>
      </w:tblGrid>
      <w:tr w:rsidR="00984719" w:rsidRPr="008871CA" w:rsidTr="002236B5">
        <w:tc>
          <w:tcPr>
            <w:tcW w:w="2093" w:type="dxa"/>
          </w:tcPr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6946" w:type="dxa"/>
          </w:tcPr>
          <w:p w:rsidR="00984719" w:rsidRPr="008871CA" w:rsidRDefault="00984719" w:rsidP="008871CA">
            <w:pPr>
              <w:rPr>
                <w:szCs w:val="20"/>
              </w:rPr>
            </w:pPr>
            <w:r w:rsidRPr="008871CA">
              <w:rPr>
                <w:szCs w:val="20"/>
              </w:rPr>
              <w:t>Описание</w:t>
            </w:r>
          </w:p>
          <w:p w:rsidR="00984719" w:rsidRPr="008871CA" w:rsidRDefault="00984719" w:rsidP="008871CA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84719" w:rsidRPr="008871CA" w:rsidRDefault="00984719" w:rsidP="002236B5">
            <w:pPr>
              <w:jc w:val="center"/>
              <w:rPr>
                <w:szCs w:val="20"/>
              </w:rPr>
            </w:pPr>
            <w:r w:rsidRPr="008871CA">
              <w:rPr>
                <w:szCs w:val="20"/>
              </w:rPr>
              <w:t>Единица измерения</w:t>
            </w:r>
          </w:p>
        </w:tc>
      </w:tr>
      <w:tr w:rsidR="00D4346F" w:rsidRPr="008871CA" w:rsidTr="002236B5">
        <w:tc>
          <w:tcPr>
            <w:tcW w:w="2093" w:type="dxa"/>
          </w:tcPr>
          <w:p w:rsidR="00D4346F" w:rsidRPr="00201FE9" w:rsidRDefault="00D4346F" w:rsidP="00C66EDB">
            <w:r w:rsidRPr="00201FE9">
              <w:t>Протез кисти рабочий, в том числе при вычленении  и частичном вычленении кисти</w:t>
            </w:r>
          </w:p>
        </w:tc>
        <w:tc>
          <w:tcPr>
            <w:tcW w:w="6946" w:type="dxa"/>
          </w:tcPr>
          <w:p w:rsidR="00D4346F" w:rsidRPr="00201FE9" w:rsidRDefault="00D4346F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 xml:space="preserve">Протез кисти рабочий, индивидуального изготовления, с обязательной примеркой. </w:t>
            </w:r>
            <w:proofErr w:type="gramStart"/>
            <w:r w:rsidRPr="00201FE9">
              <w:rPr>
                <w:szCs w:val="20"/>
              </w:rPr>
              <w:t>Предназначен для обеспечения действий инвалидов по самообслуживанию; гильза кожаная, металлические шины, приемник для насадок, крепление индивидуальное, набор рабочих приспособлений, в комплекте: перчатки — 1 пара, чехлы - 2 шт.</w:t>
            </w:r>
            <w:proofErr w:type="gramEnd"/>
          </w:p>
        </w:tc>
        <w:tc>
          <w:tcPr>
            <w:tcW w:w="1275" w:type="dxa"/>
          </w:tcPr>
          <w:p w:rsidR="00D4346F" w:rsidRPr="008871CA" w:rsidRDefault="002236B5" w:rsidP="002236B5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 xml:space="preserve">Протез предплечья рабочий 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>Протез предплечья рабочий, индивидуального изготовления по слепку, с обязательной примеркой, а также обучением пользованию им. Предназначен для обеспечения действий инвалидов по самообслуживанию; гильза предплечья кожаная с манжеткой на плечо, металлические шины, приемник для насадок, крепление плечевым ремнем, набор рабочих приспособлений, с насадками, в комплекте: перчатки — 1 пара, чехлы - 2 шт.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153409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>Протез предплечья косметический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 xml:space="preserve">Протез предплечья косметический, индивидуального изготовления по слепку, с обязательной примеркой, а также обучением пользованию им. Предназначен при утрате эстетических параметров на уровне предплечья; гильза предплечья из </w:t>
            </w:r>
            <w:proofErr w:type="spellStart"/>
            <w:r w:rsidRPr="00201FE9">
              <w:rPr>
                <w:szCs w:val="20"/>
              </w:rPr>
              <w:t>акрилоновой</w:t>
            </w:r>
            <w:proofErr w:type="spellEnd"/>
            <w:r w:rsidRPr="00201FE9">
              <w:rPr>
                <w:szCs w:val="20"/>
              </w:rPr>
              <w:t xml:space="preserve"> смолы, гильза плеча или манжетка кожаные, кисть хлорвиниловая, в комплекте: перчатки — 1 пара, чехлы - 2 шт.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153409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>Протез плеча рабочий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>Протез плеча рабочий, индивидуального изготовления по слепку, с обязательной примеркой, а также обучением пользованию им. Предназначен для обеспечения действий инвалидов по самообслуживанию; гильза плеча кожаная, с металлической шиной, локтевой шарнир с рабочими приспособлениями, крепление ремнем, с насадками, в комплекте: перчатки — 1 пара, чехлы - 2 шт.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153409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>Протез плеча активный (тяговый)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 xml:space="preserve">Протез плеча активный, индивидуального изготовления по слепку, с обязательной примеркой, а также обучением пользованию им. Предназначен для обеспечения действий инвалидов по самообслуживанию, компенсации врожденных и ампутационных дефектов; гильза плеча из </w:t>
            </w:r>
            <w:proofErr w:type="spellStart"/>
            <w:r w:rsidRPr="00201FE9">
              <w:rPr>
                <w:szCs w:val="20"/>
              </w:rPr>
              <w:t>акрилоновой</w:t>
            </w:r>
            <w:proofErr w:type="spellEnd"/>
            <w:r w:rsidRPr="00201FE9">
              <w:rPr>
                <w:szCs w:val="20"/>
              </w:rPr>
              <w:t xml:space="preserve"> смолы, вкладной кожаный чехол или без него, модуль локтевого шарнира со ступенчатой фиксацией, сгибание в локте и раскрытие пальцев кисти активные, пассивная ротация кисти, кисть активная, оболочка латексная, крепление индивидуальное, в комплекте: перчатки — 1 пара, чехлы - 2 шт.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153409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>Протез плеча косметический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r w:rsidRPr="00201FE9">
              <w:rPr>
                <w:szCs w:val="20"/>
              </w:rPr>
              <w:t xml:space="preserve">Протез плеча косметический, индивидуального изготовления по слепку, с обязательной примеркой, а также обучением пользованию им. Предназначен при утрате эстетических параметров на уровне плеча; гильза плеча из </w:t>
            </w:r>
            <w:proofErr w:type="spellStart"/>
            <w:r w:rsidRPr="00201FE9">
              <w:rPr>
                <w:szCs w:val="20"/>
              </w:rPr>
              <w:t>акрилоновой</w:t>
            </w:r>
            <w:proofErr w:type="spellEnd"/>
            <w:r w:rsidRPr="00201FE9">
              <w:rPr>
                <w:szCs w:val="20"/>
              </w:rPr>
              <w:t xml:space="preserve"> смолы, модуль локтевого шарнира со ступенчатой фиксацией, кисть хлорвиниловая, крепление индивидуальное, в комплекте: перчатки — 1 пара, чехлы - 2 шт.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153409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r w:rsidRPr="00201FE9">
              <w:t>Протез предплечья активный (тяговый)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szCs w:val="20"/>
              </w:rPr>
            </w:pPr>
            <w:proofErr w:type="gramStart"/>
            <w:r w:rsidRPr="00201FE9">
              <w:rPr>
                <w:szCs w:val="20"/>
              </w:rPr>
              <w:t xml:space="preserve">Протез предплечья активный, индивидуального изготовления по слепку, с обязательной примеркой, а также обучением пользованию им. Предназначен для обеспечения действий инвалидов по самообслуживанию, компенсации врожденных и ампутационных дефектов; гильза предплечья из </w:t>
            </w:r>
            <w:proofErr w:type="spellStart"/>
            <w:r w:rsidRPr="00201FE9">
              <w:rPr>
                <w:szCs w:val="20"/>
              </w:rPr>
              <w:t>акрилоновой</w:t>
            </w:r>
            <w:proofErr w:type="spellEnd"/>
            <w:r w:rsidRPr="00201FE9">
              <w:rPr>
                <w:szCs w:val="20"/>
              </w:rPr>
              <w:t xml:space="preserve"> смолы, гильза плеча кожаная или уздечка, системная кисть с одной тягой, активное раскрытие кисти с пассивной ротацией, оболочка латексная, в комплекте: перчатки — 1 пара, чехлы - 2 шт.</w:t>
            </w:r>
            <w:proofErr w:type="gramEnd"/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660573">
              <w:rPr>
                <w:szCs w:val="20"/>
              </w:rPr>
              <w:t>ШТ</w:t>
            </w:r>
            <w:proofErr w:type="gramEnd"/>
          </w:p>
        </w:tc>
      </w:tr>
      <w:tr w:rsidR="002236B5" w:rsidRPr="008871CA" w:rsidTr="002236B5">
        <w:tc>
          <w:tcPr>
            <w:tcW w:w="2093" w:type="dxa"/>
          </w:tcPr>
          <w:p w:rsidR="002236B5" w:rsidRPr="00201FE9" w:rsidRDefault="002236B5" w:rsidP="00C66EDB">
            <w:pPr>
              <w:ind w:left="-68" w:right="-68"/>
              <w:rPr>
                <w:rFonts w:eastAsia="Lucida Sans Unicode"/>
                <w:kern w:val="2"/>
                <w:szCs w:val="20"/>
              </w:rPr>
            </w:pPr>
            <w:r w:rsidRPr="00201FE9">
              <w:rPr>
                <w:rFonts w:eastAsia="Calibri"/>
              </w:rPr>
              <w:t xml:space="preserve">Протез после </w:t>
            </w:r>
            <w:r w:rsidRPr="00201FE9">
              <w:rPr>
                <w:rFonts w:eastAsia="Calibri"/>
              </w:rPr>
              <w:lastRenderedPageBreak/>
              <w:t xml:space="preserve">вычленения плеча функционально-косметический </w:t>
            </w:r>
          </w:p>
        </w:tc>
        <w:tc>
          <w:tcPr>
            <w:tcW w:w="6946" w:type="dxa"/>
          </w:tcPr>
          <w:p w:rsidR="002236B5" w:rsidRPr="00201FE9" w:rsidRDefault="002236B5" w:rsidP="00C66EDB">
            <w:pPr>
              <w:jc w:val="both"/>
              <w:rPr>
                <w:rFonts w:eastAsia="Calibri"/>
                <w:szCs w:val="20"/>
              </w:rPr>
            </w:pPr>
            <w:r w:rsidRPr="00201FE9">
              <w:rPr>
                <w:rFonts w:eastAsia="Calibri"/>
                <w:szCs w:val="20"/>
              </w:rPr>
              <w:lastRenderedPageBreak/>
              <w:t>Протез на вычленение в плечевом суставе модульный функционально-</w:t>
            </w:r>
            <w:r w:rsidRPr="00201FE9">
              <w:rPr>
                <w:rFonts w:eastAsia="Calibri"/>
                <w:szCs w:val="20"/>
              </w:rPr>
              <w:lastRenderedPageBreak/>
              <w:t xml:space="preserve">косметический изготовлен по размеру. Пробная приемная гильза изготовлена  по слепку из термопласта; постоянная приемная гильза изготовлена  по слепку из слоистого пластика на основе акриловых смол. Модуль плечевой шарнир  имеет возможность вращательного движения. Модуль локтевого шарнира снабжен </w:t>
            </w:r>
            <w:proofErr w:type="gramStart"/>
            <w:r w:rsidRPr="00201FE9">
              <w:rPr>
                <w:rFonts w:eastAsia="Calibri"/>
                <w:szCs w:val="20"/>
              </w:rPr>
              <w:t>пассивным</w:t>
            </w:r>
            <w:proofErr w:type="gramEnd"/>
            <w:r w:rsidRPr="00201FE9">
              <w:rPr>
                <w:rFonts w:eastAsia="Calibri"/>
                <w:szCs w:val="20"/>
              </w:rPr>
              <w:t xml:space="preserve"> замков. Косметическая кисть по форме, цвету и структуре  соответствовать  естественной кисти с защитной накладкой в комплекте в  количестве - 4шт. Соединение узлов  осуществляться посредством адаптеров. На протез  надевается  косметическое покрытие из вспененного материала -  </w:t>
            </w:r>
            <w:proofErr w:type="spellStart"/>
            <w:r w:rsidRPr="00201FE9">
              <w:rPr>
                <w:rFonts w:eastAsia="Calibri"/>
                <w:szCs w:val="20"/>
              </w:rPr>
              <w:t>перлоновый</w:t>
            </w:r>
            <w:proofErr w:type="spellEnd"/>
            <w:r w:rsidRPr="00201FE9">
              <w:rPr>
                <w:rFonts w:eastAsia="Calibri"/>
                <w:szCs w:val="20"/>
              </w:rPr>
              <w:t xml:space="preserve"> трикотажный чехол. Крепление в протезе  осуществляться бандажом. </w:t>
            </w:r>
          </w:p>
        </w:tc>
        <w:tc>
          <w:tcPr>
            <w:tcW w:w="1275" w:type="dxa"/>
          </w:tcPr>
          <w:p w:rsidR="002236B5" w:rsidRDefault="002236B5" w:rsidP="002236B5">
            <w:pPr>
              <w:jc w:val="center"/>
            </w:pPr>
            <w:proofErr w:type="gramStart"/>
            <w:r w:rsidRPr="00660573">
              <w:rPr>
                <w:szCs w:val="20"/>
              </w:rPr>
              <w:lastRenderedPageBreak/>
              <w:t>ШТ</w:t>
            </w:r>
            <w:proofErr w:type="gramEnd"/>
          </w:p>
        </w:tc>
      </w:tr>
      <w:tr w:rsidR="00D4346F" w:rsidRPr="008871CA" w:rsidTr="002236B5">
        <w:tc>
          <w:tcPr>
            <w:tcW w:w="2093" w:type="dxa"/>
          </w:tcPr>
          <w:p w:rsidR="00D4346F" w:rsidRPr="00201FE9" w:rsidRDefault="00D4346F" w:rsidP="00C66EDB">
            <w:r w:rsidRPr="00201FE9">
              <w:lastRenderedPageBreak/>
              <w:t>Протез кисти косметический, в том числе при вычленении кисти</w:t>
            </w:r>
          </w:p>
        </w:tc>
        <w:tc>
          <w:tcPr>
            <w:tcW w:w="6946" w:type="dxa"/>
          </w:tcPr>
          <w:p w:rsidR="00D4346F" w:rsidRPr="00201FE9" w:rsidRDefault="00D4346F" w:rsidP="00C66EDB">
            <w:pPr>
              <w:pStyle w:val="a9"/>
              <w:jc w:val="both"/>
              <w:rPr>
                <w:rFonts w:eastAsia="Calibri"/>
                <w:szCs w:val="20"/>
                <w:lang w:eastAsia="ar-SA"/>
              </w:rPr>
            </w:pPr>
            <w:proofErr w:type="gramStart"/>
            <w:r w:rsidRPr="00201FE9">
              <w:rPr>
                <w:rFonts w:eastAsia="Calibri"/>
                <w:szCs w:val="20"/>
                <w:lang w:eastAsia="ar-SA"/>
              </w:rPr>
              <w:t>Протез кисти косметический изготавливаться по индивидуальному тех. процессу, и состоит из внутренней формообразующей и косметической оболочки, путем подгонки внутренней формообразующей в соответствии с показаниями, индивидуальной особенностью культи, методом механической обработки, для восполнения, геометрической формы здоровой кисти.</w:t>
            </w:r>
            <w:proofErr w:type="gramEnd"/>
            <w:r w:rsidRPr="00201FE9">
              <w:rPr>
                <w:rFonts w:eastAsia="Calibri"/>
                <w:szCs w:val="20"/>
                <w:lang w:eastAsia="ar-SA"/>
              </w:rPr>
              <w:t xml:space="preserve"> Протез надежно фиксируется на культе за счет конфигурации внутренней полости и косметической оболочки при помощи застежки-молнии. Косметическая оболочка изготавливается из высококачественного ПВХ-</w:t>
            </w:r>
            <w:proofErr w:type="spellStart"/>
            <w:r w:rsidRPr="00201FE9">
              <w:rPr>
                <w:rFonts w:eastAsia="Calibri"/>
                <w:szCs w:val="20"/>
                <w:lang w:eastAsia="ar-SA"/>
              </w:rPr>
              <w:t>пластизоля</w:t>
            </w:r>
            <w:proofErr w:type="spellEnd"/>
            <w:r w:rsidRPr="00201FE9">
              <w:rPr>
                <w:rFonts w:eastAsia="Calibri"/>
                <w:szCs w:val="20"/>
                <w:lang w:eastAsia="ar-SA"/>
              </w:rPr>
              <w:t xml:space="preserve"> медицинского назначения, и по форме, цвету и структуре поверхности копирует руку человека. Пальцы наполнены вспененным силиконом с проволочным каркасом, позволяющим устанавливать на пальцах кисти желаемые углы сгибания. </w:t>
            </w:r>
            <w:proofErr w:type="gramStart"/>
            <w:r w:rsidRPr="00201FE9">
              <w:rPr>
                <w:rFonts w:eastAsia="Calibri"/>
                <w:szCs w:val="20"/>
                <w:lang w:eastAsia="ar-SA"/>
              </w:rPr>
              <w:t>В комплект входят сменные кисти – не менее 4 шт.)</w:t>
            </w:r>
            <w:proofErr w:type="gramEnd"/>
          </w:p>
        </w:tc>
        <w:tc>
          <w:tcPr>
            <w:tcW w:w="1275" w:type="dxa"/>
          </w:tcPr>
          <w:p w:rsidR="00D4346F" w:rsidRPr="008871CA" w:rsidRDefault="002236B5" w:rsidP="002236B5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ШТ</w:t>
            </w:r>
            <w:proofErr w:type="gramEnd"/>
          </w:p>
        </w:tc>
      </w:tr>
    </w:tbl>
    <w:p w:rsidR="0061294B" w:rsidRPr="008871CA" w:rsidRDefault="0061294B" w:rsidP="0061294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Выполнить работы по настоящему Контракту и передать их результат непосредственно Получателю в срок, предусмотренный Описанием объекта закупки, при представлении им паспорта и Направления, выдаваемого Заказч</w:t>
      </w:r>
      <w:r w:rsidRPr="00D4346F">
        <w:rPr>
          <w:rFonts w:ascii="Times New Roman" w:hAnsi="Times New Roman" w:cs="Times New Roman"/>
          <w:sz w:val="20"/>
          <w:szCs w:val="20"/>
          <w:u w:val="single"/>
        </w:rPr>
        <w:t>и</w:t>
      </w:r>
      <w:r w:rsidRPr="00D4346F">
        <w:rPr>
          <w:rFonts w:ascii="Times New Roman" w:hAnsi="Times New Roman" w:cs="Times New Roman"/>
          <w:sz w:val="20"/>
          <w:szCs w:val="20"/>
          <w:u w:val="single"/>
        </w:rPr>
        <w:t>ком.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Выполнять работы и выдать Получателям изделия в срок не более 60 (шестидесяти) календарных дней, и не позднее 15.09.2024 г.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Выполнение работ осуществляется по индивидуальным заказам Получателей.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Обеспечение и выдача изделий осуществляется на территории Псковской области, по месту нахождения и/или жительства Получателя либо по месту нахождения пункта выдачи.</w:t>
      </w:r>
    </w:p>
    <w:p w:rsid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 xml:space="preserve">Срок действия Контракта - </w:t>
      </w:r>
      <w:proofErr w:type="gramStart"/>
      <w:r w:rsidRPr="00D4346F">
        <w:rPr>
          <w:rFonts w:ascii="Times New Roman" w:hAnsi="Times New Roman" w:cs="Times New Roman"/>
          <w:sz w:val="20"/>
          <w:szCs w:val="20"/>
          <w:u w:val="single"/>
        </w:rPr>
        <w:t>с даты</w:t>
      </w:r>
      <w:proofErr w:type="gramEnd"/>
      <w:r w:rsidRPr="00D4346F">
        <w:rPr>
          <w:rFonts w:ascii="Times New Roman" w:hAnsi="Times New Roman" w:cs="Times New Roman"/>
          <w:sz w:val="20"/>
          <w:szCs w:val="20"/>
          <w:u w:val="single"/>
        </w:rPr>
        <w:t xml:space="preserve"> его заключения до выполнения полного объема обязательств, но не позднее  30.09.2024 года.</w:t>
      </w:r>
    </w:p>
    <w:p w:rsid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D4346F" w:rsidSect="002236B5">
      <w:footerReference w:type="default" r:id="rId9"/>
      <w:pgSz w:w="11906" w:h="16838"/>
      <w:pgMar w:top="567" w:right="567" w:bottom="28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B" w:rsidRDefault="001007FB">
      <w:r>
        <w:separator/>
      </w:r>
    </w:p>
  </w:endnote>
  <w:endnote w:type="continuationSeparator" w:id="0">
    <w:p w:rsidR="001007FB" w:rsidRDefault="001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CA" w:rsidRDefault="008871CA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B" w:rsidRDefault="001007FB">
      <w:r>
        <w:rPr>
          <w:color w:val="000000"/>
        </w:rPr>
        <w:separator/>
      </w:r>
    </w:p>
  </w:footnote>
  <w:footnote w:type="continuationSeparator" w:id="0">
    <w:p w:rsidR="001007FB" w:rsidRDefault="0010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6526358"/>
    <w:multiLevelType w:val="hybridMultilevel"/>
    <w:tmpl w:val="AD007844"/>
    <w:lvl w:ilvl="0" w:tplc="A384AC9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7D7FF3"/>
    <w:multiLevelType w:val="multilevel"/>
    <w:tmpl w:val="B0F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C3647"/>
    <w:multiLevelType w:val="hybridMultilevel"/>
    <w:tmpl w:val="B7D28A42"/>
    <w:lvl w:ilvl="0" w:tplc="33E0667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9"/>
    <w:rsid w:val="000016DC"/>
    <w:rsid w:val="000049C4"/>
    <w:rsid w:val="0001214F"/>
    <w:rsid w:val="00060B48"/>
    <w:rsid w:val="00073FCD"/>
    <w:rsid w:val="000830B4"/>
    <w:rsid w:val="00096D9A"/>
    <w:rsid w:val="00097AA9"/>
    <w:rsid w:val="000D56FC"/>
    <w:rsid w:val="000F47E7"/>
    <w:rsid w:val="000F6954"/>
    <w:rsid w:val="001007FB"/>
    <w:rsid w:val="00105999"/>
    <w:rsid w:val="00113400"/>
    <w:rsid w:val="00117B39"/>
    <w:rsid w:val="001340DB"/>
    <w:rsid w:val="0014117B"/>
    <w:rsid w:val="001B535B"/>
    <w:rsid w:val="001B61AA"/>
    <w:rsid w:val="001D0A7F"/>
    <w:rsid w:val="001D3476"/>
    <w:rsid w:val="001E4B60"/>
    <w:rsid w:val="00204035"/>
    <w:rsid w:val="002236B5"/>
    <w:rsid w:val="0023714C"/>
    <w:rsid w:val="00244CB5"/>
    <w:rsid w:val="0024673A"/>
    <w:rsid w:val="00256434"/>
    <w:rsid w:val="0029509D"/>
    <w:rsid w:val="002B46B2"/>
    <w:rsid w:val="002C3066"/>
    <w:rsid w:val="002C7F93"/>
    <w:rsid w:val="002E2BB0"/>
    <w:rsid w:val="002E59C2"/>
    <w:rsid w:val="00301863"/>
    <w:rsid w:val="00312443"/>
    <w:rsid w:val="0031662C"/>
    <w:rsid w:val="00316DCE"/>
    <w:rsid w:val="00321FA2"/>
    <w:rsid w:val="00334404"/>
    <w:rsid w:val="00372B30"/>
    <w:rsid w:val="003765D3"/>
    <w:rsid w:val="00380A9F"/>
    <w:rsid w:val="003917EA"/>
    <w:rsid w:val="003A4B50"/>
    <w:rsid w:val="003A5262"/>
    <w:rsid w:val="003E426A"/>
    <w:rsid w:val="00420878"/>
    <w:rsid w:val="004213F4"/>
    <w:rsid w:val="00422030"/>
    <w:rsid w:val="004419DC"/>
    <w:rsid w:val="00450E8A"/>
    <w:rsid w:val="00481764"/>
    <w:rsid w:val="004C0F58"/>
    <w:rsid w:val="004F1F7E"/>
    <w:rsid w:val="00506358"/>
    <w:rsid w:val="005262E6"/>
    <w:rsid w:val="00526341"/>
    <w:rsid w:val="00531CAE"/>
    <w:rsid w:val="00555FD4"/>
    <w:rsid w:val="00557742"/>
    <w:rsid w:val="00562701"/>
    <w:rsid w:val="00567A8E"/>
    <w:rsid w:val="00576E85"/>
    <w:rsid w:val="005820B4"/>
    <w:rsid w:val="005872F2"/>
    <w:rsid w:val="005879F8"/>
    <w:rsid w:val="00595218"/>
    <w:rsid w:val="005B6A43"/>
    <w:rsid w:val="005E2CF4"/>
    <w:rsid w:val="005E62E6"/>
    <w:rsid w:val="005F1E6F"/>
    <w:rsid w:val="005F2717"/>
    <w:rsid w:val="005F4EAE"/>
    <w:rsid w:val="005F68F3"/>
    <w:rsid w:val="0061294B"/>
    <w:rsid w:val="006343A4"/>
    <w:rsid w:val="00652ECF"/>
    <w:rsid w:val="00676199"/>
    <w:rsid w:val="006B14C9"/>
    <w:rsid w:val="006B1F30"/>
    <w:rsid w:val="006C0024"/>
    <w:rsid w:val="006E007F"/>
    <w:rsid w:val="006E42B7"/>
    <w:rsid w:val="006E7738"/>
    <w:rsid w:val="00702B05"/>
    <w:rsid w:val="00730E6C"/>
    <w:rsid w:val="00733803"/>
    <w:rsid w:val="00741559"/>
    <w:rsid w:val="00797F42"/>
    <w:rsid w:val="007A0B12"/>
    <w:rsid w:val="007A2DA3"/>
    <w:rsid w:val="007B176F"/>
    <w:rsid w:val="007B5D16"/>
    <w:rsid w:val="008151DA"/>
    <w:rsid w:val="00830A83"/>
    <w:rsid w:val="008352D8"/>
    <w:rsid w:val="008721A0"/>
    <w:rsid w:val="008871CA"/>
    <w:rsid w:val="008A070C"/>
    <w:rsid w:val="008A1AAD"/>
    <w:rsid w:val="008B48AB"/>
    <w:rsid w:val="008E4E03"/>
    <w:rsid w:val="00905655"/>
    <w:rsid w:val="00911DF0"/>
    <w:rsid w:val="00921218"/>
    <w:rsid w:val="00921C37"/>
    <w:rsid w:val="00921DFC"/>
    <w:rsid w:val="00952FE7"/>
    <w:rsid w:val="00960923"/>
    <w:rsid w:val="00984719"/>
    <w:rsid w:val="009C4EE4"/>
    <w:rsid w:val="009D7BD2"/>
    <w:rsid w:val="00A02CDC"/>
    <w:rsid w:val="00A06AC6"/>
    <w:rsid w:val="00A10037"/>
    <w:rsid w:val="00A12ACF"/>
    <w:rsid w:val="00A14441"/>
    <w:rsid w:val="00A254F6"/>
    <w:rsid w:val="00A26BBC"/>
    <w:rsid w:val="00A556D1"/>
    <w:rsid w:val="00A56279"/>
    <w:rsid w:val="00A80221"/>
    <w:rsid w:val="00A84853"/>
    <w:rsid w:val="00A86116"/>
    <w:rsid w:val="00A9786C"/>
    <w:rsid w:val="00AA1201"/>
    <w:rsid w:val="00AB2134"/>
    <w:rsid w:val="00AC7B09"/>
    <w:rsid w:val="00AE0440"/>
    <w:rsid w:val="00AE423C"/>
    <w:rsid w:val="00AE7BBA"/>
    <w:rsid w:val="00AF2A09"/>
    <w:rsid w:val="00B10764"/>
    <w:rsid w:val="00B111CF"/>
    <w:rsid w:val="00B2679B"/>
    <w:rsid w:val="00B7635D"/>
    <w:rsid w:val="00B76419"/>
    <w:rsid w:val="00BB3B32"/>
    <w:rsid w:val="00BD4A7A"/>
    <w:rsid w:val="00C37CB4"/>
    <w:rsid w:val="00C4407F"/>
    <w:rsid w:val="00C565BE"/>
    <w:rsid w:val="00C6283E"/>
    <w:rsid w:val="00C710B6"/>
    <w:rsid w:val="00C85DF9"/>
    <w:rsid w:val="00C92AAC"/>
    <w:rsid w:val="00CC7543"/>
    <w:rsid w:val="00CE1938"/>
    <w:rsid w:val="00D05674"/>
    <w:rsid w:val="00D14319"/>
    <w:rsid w:val="00D15638"/>
    <w:rsid w:val="00D16347"/>
    <w:rsid w:val="00D21480"/>
    <w:rsid w:val="00D32ABF"/>
    <w:rsid w:val="00D35C98"/>
    <w:rsid w:val="00D4346F"/>
    <w:rsid w:val="00DA109A"/>
    <w:rsid w:val="00DA3B61"/>
    <w:rsid w:val="00DB6C98"/>
    <w:rsid w:val="00DC3272"/>
    <w:rsid w:val="00DD659C"/>
    <w:rsid w:val="00DD661F"/>
    <w:rsid w:val="00DE4C70"/>
    <w:rsid w:val="00E12795"/>
    <w:rsid w:val="00E17297"/>
    <w:rsid w:val="00E32328"/>
    <w:rsid w:val="00E36BD9"/>
    <w:rsid w:val="00E40130"/>
    <w:rsid w:val="00E545B1"/>
    <w:rsid w:val="00E5487A"/>
    <w:rsid w:val="00E55BC8"/>
    <w:rsid w:val="00E65100"/>
    <w:rsid w:val="00E91A47"/>
    <w:rsid w:val="00E92067"/>
    <w:rsid w:val="00EA7EE8"/>
    <w:rsid w:val="00EC7FEF"/>
    <w:rsid w:val="00EE2D5E"/>
    <w:rsid w:val="00EF553D"/>
    <w:rsid w:val="00F20708"/>
    <w:rsid w:val="00F41AF6"/>
    <w:rsid w:val="00F64051"/>
    <w:rsid w:val="00F93789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FC12-1F2D-48D2-85CA-5811D3C8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Куцак Маргарита Николаевна</dc:creator>
  <cp:lastModifiedBy>Васильева Елена Николаевна</cp:lastModifiedBy>
  <cp:revision>3</cp:revision>
  <cp:lastPrinted>2023-08-22T05:42:00Z</cp:lastPrinted>
  <dcterms:created xsi:type="dcterms:W3CDTF">2023-09-27T16:45:00Z</dcterms:created>
  <dcterms:modified xsi:type="dcterms:W3CDTF">2023-09-27T16:47:00Z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