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F3" w:rsidRDefault="009C0A1A" w:rsidP="00C86DF3">
      <w:pPr>
        <w:autoSpaceDE w:val="0"/>
        <w:jc w:val="center"/>
        <w:rPr>
          <w:b/>
          <w:bCs/>
          <w:sz w:val="25"/>
          <w:szCs w:val="25"/>
        </w:rPr>
      </w:pPr>
      <w:bookmarkStart w:id="0" w:name="_GoBack"/>
      <w:bookmarkEnd w:id="0"/>
      <w:r w:rsidRPr="000A6E48">
        <w:rPr>
          <w:b/>
          <w:bCs/>
          <w:sz w:val="25"/>
          <w:szCs w:val="25"/>
        </w:rPr>
        <w:t>Описание объекта закупки</w:t>
      </w:r>
    </w:p>
    <w:p w:rsidR="009C0A1A" w:rsidRDefault="009C0A1A" w:rsidP="00C86DF3">
      <w:pPr>
        <w:autoSpaceDE w:val="0"/>
        <w:jc w:val="center"/>
        <w:rPr>
          <w:b/>
          <w:bCs/>
          <w:sz w:val="26"/>
          <w:szCs w:val="26"/>
        </w:rPr>
      </w:pPr>
    </w:p>
    <w:p w:rsidR="00C86DF3" w:rsidRPr="00330BCC" w:rsidRDefault="00C86DF3" w:rsidP="00C86DF3">
      <w:pPr>
        <w:rPr>
          <w:b/>
          <w:sz w:val="22"/>
          <w:szCs w:val="22"/>
        </w:rPr>
      </w:pPr>
      <w:r w:rsidRPr="003A29A0">
        <w:rPr>
          <w:b/>
          <w:sz w:val="22"/>
          <w:szCs w:val="22"/>
        </w:rPr>
        <w:t xml:space="preserve">Требования к </w:t>
      </w:r>
      <w:r w:rsidRPr="00330BCC">
        <w:rPr>
          <w:b/>
          <w:sz w:val="22"/>
          <w:szCs w:val="22"/>
        </w:rPr>
        <w:t>срокам и месту выполнения работ:</w:t>
      </w:r>
    </w:p>
    <w:p w:rsidR="00C86DF3" w:rsidRPr="00330BCC" w:rsidRDefault="00C86DF3" w:rsidP="00C86DF3">
      <w:pPr>
        <w:jc w:val="both"/>
        <w:rPr>
          <w:sz w:val="22"/>
          <w:szCs w:val="22"/>
        </w:rPr>
      </w:pPr>
      <w:r w:rsidRPr="00330BCC">
        <w:rPr>
          <w:b/>
          <w:sz w:val="22"/>
          <w:szCs w:val="22"/>
        </w:rPr>
        <w:t>Сроки выполнения работ:</w:t>
      </w:r>
      <w:r w:rsidRPr="00330BCC">
        <w:rPr>
          <w:sz w:val="22"/>
          <w:szCs w:val="22"/>
        </w:rPr>
        <w:t xml:space="preserve"> </w:t>
      </w:r>
      <w:r w:rsidR="00F246BB" w:rsidRPr="00330BCC">
        <w:rPr>
          <w:sz w:val="22"/>
          <w:szCs w:val="22"/>
        </w:rPr>
        <w:t>изготовить и передать Получат</w:t>
      </w:r>
      <w:r w:rsidR="006B2383" w:rsidRPr="00330BCC">
        <w:rPr>
          <w:sz w:val="22"/>
          <w:szCs w:val="22"/>
        </w:rPr>
        <w:t>елю результат работ в течение 25 (Двадцати пят</w:t>
      </w:r>
      <w:r w:rsidR="00F246BB" w:rsidRPr="00330BCC">
        <w:rPr>
          <w:sz w:val="22"/>
          <w:szCs w:val="22"/>
        </w:rPr>
        <w:t xml:space="preserve">и) дней </w:t>
      </w:r>
      <w:proofErr w:type="gramStart"/>
      <w:r w:rsidR="00F246BB" w:rsidRPr="00330BCC">
        <w:rPr>
          <w:sz w:val="22"/>
          <w:szCs w:val="22"/>
        </w:rPr>
        <w:t>с даты обращения</w:t>
      </w:r>
      <w:proofErr w:type="gramEnd"/>
      <w:r w:rsidR="00F246BB" w:rsidRPr="00330BCC">
        <w:rPr>
          <w:sz w:val="22"/>
          <w:szCs w:val="22"/>
        </w:rPr>
        <w:t xml:space="preserve"> Получателя к Исполнителю с направлением, выданным Заказчиком.</w:t>
      </w:r>
    </w:p>
    <w:p w:rsidR="00330BCC" w:rsidRPr="00330BCC" w:rsidRDefault="00F246BB" w:rsidP="00330BCC">
      <w:pPr>
        <w:tabs>
          <w:tab w:val="left" w:pos="993"/>
        </w:tabs>
        <w:jc w:val="both"/>
        <w:rPr>
          <w:sz w:val="22"/>
          <w:szCs w:val="22"/>
          <w:lang w:eastAsia="ru-RU"/>
        </w:rPr>
      </w:pPr>
      <w:r w:rsidRPr="00330BCC">
        <w:rPr>
          <w:b/>
          <w:sz w:val="22"/>
          <w:szCs w:val="22"/>
        </w:rPr>
        <w:t>Срок исполнения контракта:</w:t>
      </w:r>
      <w:r w:rsidRPr="00330BCC">
        <w:rPr>
          <w:sz w:val="22"/>
          <w:szCs w:val="22"/>
        </w:rPr>
        <w:t xml:space="preserve"> </w:t>
      </w:r>
      <w:r w:rsidR="00330BCC" w:rsidRPr="00330BCC">
        <w:rPr>
          <w:sz w:val="22"/>
          <w:szCs w:val="22"/>
          <w:lang w:eastAsia="ru-RU"/>
        </w:rPr>
        <w:t>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и действует до «01» декабря 2023 года. Окончание срока действия Контракта не влечет прекращения неисполненных обязатель</w:t>
      </w:r>
      <w:proofErr w:type="gramStart"/>
      <w:r w:rsidR="00330BCC" w:rsidRPr="00330BCC">
        <w:rPr>
          <w:sz w:val="22"/>
          <w:szCs w:val="22"/>
          <w:lang w:eastAsia="ru-RU"/>
        </w:rPr>
        <w:t>ств Ст</w:t>
      </w:r>
      <w:proofErr w:type="gramEnd"/>
      <w:r w:rsidR="00330BCC" w:rsidRPr="00330BCC">
        <w:rPr>
          <w:sz w:val="22"/>
          <w:szCs w:val="22"/>
          <w:lang w:eastAsia="ru-RU"/>
        </w:rPr>
        <w:t>орон по Контракту, в том числе гарантийных обязательств Исполнителя.</w:t>
      </w:r>
    </w:p>
    <w:p w:rsidR="00D03064" w:rsidRPr="003A29A0" w:rsidRDefault="00C86DF3" w:rsidP="00D03064">
      <w:pPr>
        <w:jc w:val="both"/>
        <w:rPr>
          <w:color w:val="000000"/>
          <w:spacing w:val="-4"/>
          <w:sz w:val="22"/>
          <w:szCs w:val="22"/>
        </w:rPr>
      </w:pPr>
      <w:proofErr w:type="gramStart"/>
      <w:r w:rsidRPr="00330BCC">
        <w:rPr>
          <w:b/>
          <w:bCs/>
          <w:color w:val="000000"/>
          <w:spacing w:val="-4"/>
          <w:sz w:val="22"/>
          <w:szCs w:val="22"/>
        </w:rPr>
        <w:t xml:space="preserve">Место выполнения работ: </w:t>
      </w:r>
      <w:r w:rsidR="00D03064" w:rsidRPr="00330BCC">
        <w:rPr>
          <w:color w:val="000000"/>
          <w:spacing w:val="-4"/>
          <w:sz w:val="22"/>
          <w:szCs w:val="22"/>
        </w:rPr>
        <w:t>снятие мерок, выдача результата работы, в случае необходимости протезирование в условиях стационара и другие этапы работ, требующие присутствие получателя, производятся в специализированных</w:t>
      </w:r>
      <w:r w:rsidR="00D03064" w:rsidRPr="003A29A0">
        <w:rPr>
          <w:color w:val="000000"/>
          <w:spacing w:val="-4"/>
          <w:sz w:val="22"/>
          <w:szCs w:val="22"/>
        </w:rPr>
        <w:t xml:space="preserve"> помещениях г. Архангельска, в соотв</w:t>
      </w:r>
      <w:r w:rsidR="006B2383">
        <w:rPr>
          <w:color w:val="000000"/>
          <w:spacing w:val="-4"/>
          <w:sz w:val="22"/>
          <w:szCs w:val="22"/>
        </w:rPr>
        <w:t>етствии с приказом от 30.07.2015</w:t>
      </w:r>
      <w:r w:rsidR="00D03064" w:rsidRPr="003A29A0">
        <w:rPr>
          <w:color w:val="000000"/>
          <w:spacing w:val="-4"/>
          <w:sz w:val="22"/>
          <w:szCs w:val="22"/>
        </w:rPr>
        <w:t>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w:t>
      </w:r>
      <w:proofErr w:type="gramEnd"/>
      <w:r w:rsidR="00D03064" w:rsidRPr="003A29A0">
        <w:rPr>
          <w:color w:val="000000"/>
          <w:spacing w:val="-4"/>
          <w:sz w:val="22"/>
          <w:szCs w:val="22"/>
        </w:rPr>
        <w:t xml:space="preserve"> при этом необходимой помощи», место выполнения иных работ определяется Исполнителем самостоятельно. </w:t>
      </w:r>
    </w:p>
    <w:p w:rsidR="00C86DF3" w:rsidRPr="003A29A0" w:rsidRDefault="00C86DF3" w:rsidP="00C86DF3">
      <w:pPr>
        <w:jc w:val="both"/>
        <w:rPr>
          <w:b/>
          <w:sz w:val="22"/>
          <w:szCs w:val="22"/>
          <w:lang w:eastAsia="ru-RU"/>
        </w:rPr>
      </w:pPr>
      <w:r w:rsidRPr="003A29A0">
        <w:rPr>
          <w:b/>
          <w:sz w:val="22"/>
          <w:szCs w:val="22"/>
          <w:lang w:eastAsia="ru-RU"/>
        </w:rPr>
        <w:t xml:space="preserve">Место и порядок передачи изделия получателю:   </w:t>
      </w:r>
    </w:p>
    <w:p w:rsidR="00F246BB" w:rsidRPr="003A29A0" w:rsidRDefault="00F246BB" w:rsidP="00F246BB">
      <w:pPr>
        <w:jc w:val="both"/>
        <w:rPr>
          <w:sz w:val="22"/>
          <w:szCs w:val="22"/>
          <w:lang w:eastAsia="ru-RU"/>
        </w:rPr>
      </w:pPr>
      <w:r w:rsidRPr="003A29A0">
        <w:rPr>
          <w:sz w:val="22"/>
          <w:szCs w:val="22"/>
          <w:lang w:eastAsia="ru-RU"/>
        </w:rPr>
        <w:t xml:space="preserve">В случае необходимости - отправить изготовленное изделие Получателю, указанному в Направлении, по месту его жительства.   </w:t>
      </w:r>
    </w:p>
    <w:p w:rsidR="00F246BB" w:rsidRPr="003A29A0" w:rsidRDefault="00F246BB" w:rsidP="00F246BB">
      <w:pPr>
        <w:jc w:val="both"/>
        <w:rPr>
          <w:sz w:val="22"/>
          <w:szCs w:val="22"/>
          <w:lang w:eastAsia="ru-RU"/>
        </w:rPr>
      </w:pPr>
      <w:r w:rsidRPr="003A29A0">
        <w:rPr>
          <w:sz w:val="22"/>
          <w:szCs w:val="22"/>
          <w:lang w:eastAsia="ru-RU"/>
        </w:rPr>
        <w:t xml:space="preserve">При передаче результатов Работ Получателю оформить Акт сдачи-приемки Работ, который является документом, подтверждающим факт выполнения Работ, а дата его подписания является датой приемки выполненных Работ. Акт подписывается Исполнителем и Получателем и оформляется в 3 (Трех) экземплярах, один из которых передается Заказчику, один остается у Исполнителя, один – у Получателя. </w:t>
      </w:r>
    </w:p>
    <w:p w:rsidR="00C86DF3" w:rsidRPr="003A29A0" w:rsidRDefault="00F246BB" w:rsidP="00F246BB">
      <w:pPr>
        <w:jc w:val="both"/>
        <w:rPr>
          <w:sz w:val="22"/>
          <w:szCs w:val="22"/>
          <w:lang w:eastAsia="ru-RU"/>
        </w:rPr>
      </w:pPr>
      <w:r w:rsidRPr="003A29A0">
        <w:rPr>
          <w:sz w:val="22"/>
          <w:szCs w:val="22"/>
          <w:lang w:eastAsia="ru-RU"/>
        </w:rPr>
        <w:t xml:space="preserve"> В случае использования услуг транспортной организации, почтовой связи Акт сдачи-приемки Работ подписывается только Исполнителем с приложением документов (транспортных, сопроводительных, уведомлений о вручении и пр.), подтверждающих факт отправки и вручения Получателю готового изделия.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520"/>
        <w:gridCol w:w="1276"/>
      </w:tblGrid>
      <w:tr w:rsidR="002E3B0A" w:rsidRPr="003A29A0" w:rsidTr="00353F42">
        <w:trPr>
          <w:trHeight w:val="696"/>
        </w:trPr>
        <w:tc>
          <w:tcPr>
            <w:tcW w:w="2235" w:type="dxa"/>
            <w:shd w:val="clear" w:color="auto" w:fill="auto"/>
            <w:vAlign w:val="center"/>
          </w:tcPr>
          <w:p w:rsidR="002E3B0A" w:rsidRPr="003A29A0" w:rsidRDefault="002E3B0A" w:rsidP="002E3B0A">
            <w:pPr>
              <w:snapToGrid w:val="0"/>
              <w:jc w:val="center"/>
              <w:rPr>
                <w:sz w:val="22"/>
                <w:szCs w:val="22"/>
              </w:rPr>
            </w:pPr>
            <w:r w:rsidRPr="003A29A0">
              <w:rPr>
                <w:sz w:val="22"/>
                <w:szCs w:val="22"/>
              </w:rPr>
              <w:t>Наименование изделия</w:t>
            </w:r>
          </w:p>
        </w:tc>
        <w:tc>
          <w:tcPr>
            <w:tcW w:w="6520" w:type="dxa"/>
            <w:shd w:val="clear" w:color="auto" w:fill="auto"/>
            <w:vAlign w:val="center"/>
          </w:tcPr>
          <w:p w:rsidR="002E3B0A" w:rsidRPr="003A29A0" w:rsidRDefault="002E3B0A" w:rsidP="002E3B0A">
            <w:pPr>
              <w:snapToGrid w:val="0"/>
              <w:jc w:val="center"/>
              <w:rPr>
                <w:sz w:val="22"/>
                <w:szCs w:val="22"/>
              </w:rPr>
            </w:pPr>
            <w:r w:rsidRPr="003A29A0">
              <w:rPr>
                <w:sz w:val="22"/>
                <w:szCs w:val="22"/>
              </w:rPr>
              <w:t>Описание функциональных и технических характеристик</w:t>
            </w:r>
          </w:p>
        </w:tc>
        <w:tc>
          <w:tcPr>
            <w:tcW w:w="1276" w:type="dxa"/>
            <w:shd w:val="clear" w:color="auto" w:fill="auto"/>
            <w:vAlign w:val="center"/>
          </w:tcPr>
          <w:p w:rsidR="002E3B0A" w:rsidRPr="003A29A0" w:rsidRDefault="002E3B0A" w:rsidP="002E3B0A">
            <w:pPr>
              <w:snapToGrid w:val="0"/>
              <w:jc w:val="center"/>
              <w:rPr>
                <w:sz w:val="22"/>
                <w:szCs w:val="22"/>
              </w:rPr>
            </w:pPr>
            <w:r w:rsidRPr="003A29A0">
              <w:rPr>
                <w:sz w:val="22"/>
                <w:szCs w:val="22"/>
              </w:rPr>
              <w:t>Кол-во,</w:t>
            </w:r>
          </w:p>
          <w:p w:rsidR="002E3B0A" w:rsidRPr="003A29A0" w:rsidRDefault="002E3B0A" w:rsidP="002E3B0A">
            <w:pPr>
              <w:snapToGrid w:val="0"/>
              <w:jc w:val="center"/>
              <w:rPr>
                <w:sz w:val="22"/>
                <w:szCs w:val="22"/>
              </w:rPr>
            </w:pPr>
            <w:r w:rsidRPr="003A29A0">
              <w:rPr>
                <w:sz w:val="22"/>
                <w:szCs w:val="22"/>
              </w:rPr>
              <w:t>(шт.)</w:t>
            </w:r>
          </w:p>
        </w:tc>
      </w:tr>
      <w:tr w:rsidR="002E3B0A" w:rsidRPr="003A29A0" w:rsidTr="00353F42">
        <w:trPr>
          <w:trHeight w:val="3114"/>
        </w:trPr>
        <w:tc>
          <w:tcPr>
            <w:tcW w:w="10031" w:type="dxa"/>
            <w:gridSpan w:val="3"/>
            <w:shd w:val="clear" w:color="auto" w:fill="auto"/>
            <w:vAlign w:val="center"/>
          </w:tcPr>
          <w:p w:rsidR="006B2383" w:rsidRPr="006B2383" w:rsidRDefault="006B2383" w:rsidP="006B2383">
            <w:pPr>
              <w:widowControl w:val="0"/>
              <w:autoSpaceDE w:val="0"/>
              <w:ind w:firstLine="709"/>
              <w:jc w:val="both"/>
              <w:rPr>
                <w:rFonts w:eastAsia="Arial"/>
              </w:rPr>
            </w:pPr>
            <w:r w:rsidRPr="006B2383">
              <w:rPr>
                <w:rFonts w:eastAsia="Arial"/>
              </w:rPr>
              <w:t xml:space="preserve">Качество изготавливаемого Изделия должно соответствовать государственным стандартам (ГОСТ), действующим на территории Российской Федерации, в том числе: </w:t>
            </w:r>
          </w:p>
          <w:p w:rsidR="006B2383" w:rsidRPr="006B2383" w:rsidRDefault="006B2383" w:rsidP="006B2383">
            <w:pPr>
              <w:suppressAutoHyphens w:val="0"/>
              <w:autoSpaceDE w:val="0"/>
              <w:autoSpaceDN w:val="0"/>
              <w:adjustRightInd w:val="0"/>
              <w:ind w:firstLine="709"/>
              <w:jc w:val="both"/>
              <w:rPr>
                <w:lang w:eastAsia="ru-RU"/>
              </w:rPr>
            </w:pPr>
            <w:r w:rsidRPr="006B2383">
              <w:rPr>
                <w:kern w:val="2"/>
              </w:rPr>
              <w:t xml:space="preserve">-ГОСТ </w:t>
            </w:r>
            <w:proofErr w:type="gramStart"/>
            <w:r w:rsidRPr="006B2383">
              <w:rPr>
                <w:kern w:val="2"/>
              </w:rPr>
              <w:t>Р</w:t>
            </w:r>
            <w:proofErr w:type="gramEnd"/>
            <w:r w:rsidRPr="006B2383">
              <w:rPr>
                <w:kern w:val="2"/>
              </w:rPr>
              <w:t xml:space="preserve"> 51632-2021 «Технические средства реабилитации людей с ограничениями жизнедеятельности. Общие технические требования и методы испытаний»;</w:t>
            </w:r>
          </w:p>
          <w:p w:rsidR="006B2383" w:rsidRPr="006B2383" w:rsidRDefault="006B2383" w:rsidP="006B2383">
            <w:pPr>
              <w:widowControl w:val="0"/>
              <w:autoSpaceDE w:val="0"/>
              <w:ind w:firstLine="709"/>
              <w:jc w:val="both"/>
              <w:rPr>
                <w:rFonts w:eastAsia="Arial"/>
              </w:rPr>
            </w:pPr>
            <w:r w:rsidRPr="006B2383">
              <w:rPr>
                <w:rFonts w:eastAsia="Arial"/>
              </w:rPr>
              <w:t>-ГОСТ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6B2383" w:rsidRPr="006B2383" w:rsidRDefault="006B2383" w:rsidP="006B2383">
            <w:pPr>
              <w:suppressAutoHyphens w:val="0"/>
              <w:autoSpaceDE w:val="0"/>
              <w:autoSpaceDN w:val="0"/>
              <w:adjustRightInd w:val="0"/>
              <w:ind w:firstLine="709"/>
              <w:jc w:val="both"/>
              <w:rPr>
                <w:lang w:eastAsia="ru-RU"/>
              </w:rPr>
            </w:pPr>
            <w:r w:rsidRPr="006B2383">
              <w:rPr>
                <w:lang w:eastAsia="ru-RU"/>
              </w:rPr>
              <w:t xml:space="preserve">-ГОСТ ISO 10993-5-2011 «Изделия медицинские. Оценка биологического действия медицинских изделий. Часть 5. Исследования на </w:t>
            </w:r>
            <w:proofErr w:type="spellStart"/>
            <w:r w:rsidRPr="006B2383">
              <w:rPr>
                <w:lang w:eastAsia="ru-RU"/>
              </w:rPr>
              <w:t>цитотоксичность</w:t>
            </w:r>
            <w:proofErr w:type="spellEnd"/>
            <w:r w:rsidRPr="006B2383">
              <w:rPr>
                <w:lang w:eastAsia="ru-RU"/>
              </w:rPr>
              <w:t xml:space="preserve">: методы </w:t>
            </w:r>
            <w:proofErr w:type="spellStart"/>
            <w:r w:rsidRPr="006B2383">
              <w:rPr>
                <w:lang w:eastAsia="ru-RU"/>
              </w:rPr>
              <w:t>in</w:t>
            </w:r>
            <w:proofErr w:type="spellEnd"/>
            <w:r w:rsidRPr="006B2383">
              <w:rPr>
                <w:lang w:eastAsia="ru-RU"/>
              </w:rPr>
              <w:t xml:space="preserve"> </w:t>
            </w:r>
            <w:proofErr w:type="spellStart"/>
            <w:r w:rsidRPr="006B2383">
              <w:rPr>
                <w:lang w:eastAsia="ru-RU"/>
              </w:rPr>
              <w:t>vitro</w:t>
            </w:r>
            <w:proofErr w:type="spellEnd"/>
            <w:r w:rsidRPr="006B2383">
              <w:rPr>
                <w:lang w:eastAsia="ru-RU"/>
              </w:rPr>
              <w:t>»;</w:t>
            </w:r>
          </w:p>
          <w:p w:rsidR="002E3B0A" w:rsidRPr="003A29A0" w:rsidRDefault="006B2383" w:rsidP="006B2383">
            <w:pPr>
              <w:autoSpaceDE w:val="0"/>
              <w:ind w:firstLine="709"/>
              <w:jc w:val="both"/>
              <w:rPr>
                <w:sz w:val="22"/>
                <w:szCs w:val="22"/>
              </w:rPr>
            </w:pPr>
            <w:r w:rsidRPr="006B2383">
              <w:rPr>
                <w:lang w:eastAsia="ru-RU"/>
              </w:rPr>
              <w:t>- 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tc>
      </w:tr>
      <w:tr w:rsidR="006B2383" w:rsidRPr="003A29A0" w:rsidTr="006B2383">
        <w:trPr>
          <w:trHeight w:val="785"/>
        </w:trPr>
        <w:tc>
          <w:tcPr>
            <w:tcW w:w="2235" w:type="dxa"/>
            <w:shd w:val="clear" w:color="auto" w:fill="auto"/>
            <w:vAlign w:val="center"/>
          </w:tcPr>
          <w:p w:rsidR="006B2383" w:rsidRPr="009A4ED7" w:rsidRDefault="006B2383" w:rsidP="002C04AD">
            <w:pPr>
              <w:tabs>
                <w:tab w:val="left" w:pos="-180"/>
              </w:tabs>
              <w:jc w:val="center"/>
            </w:pPr>
          </w:p>
          <w:p w:rsidR="006B2383" w:rsidRPr="009A4ED7" w:rsidRDefault="006B2383" w:rsidP="002C04AD">
            <w:pPr>
              <w:tabs>
                <w:tab w:val="left" w:pos="-180"/>
              </w:tabs>
              <w:jc w:val="center"/>
            </w:pPr>
            <w:r w:rsidRPr="009A4ED7">
              <w:t>Протез бедра модульный, в том числе при врожденном недоразвитии</w:t>
            </w:r>
          </w:p>
        </w:tc>
        <w:tc>
          <w:tcPr>
            <w:tcW w:w="6520" w:type="dxa"/>
            <w:shd w:val="clear" w:color="auto" w:fill="auto"/>
          </w:tcPr>
          <w:p w:rsidR="006B2383" w:rsidRPr="009A4ED7" w:rsidRDefault="006B2383" w:rsidP="002C04AD">
            <w:pPr>
              <w:jc w:val="both"/>
            </w:pPr>
            <w:r w:rsidRPr="009A4ED7">
              <w:t xml:space="preserve">Формообразующая часть косметической облицовки должна быть модульная, мягкая, полиуретановая. Косметическим покрытием облицовки должны быть чулки ортопедические </w:t>
            </w:r>
            <w:proofErr w:type="spellStart"/>
            <w:r w:rsidRPr="009A4ED7">
              <w:t>перлоновые</w:t>
            </w:r>
            <w:proofErr w:type="spellEnd"/>
            <w:r w:rsidRPr="009A4ED7">
              <w:t xml:space="preserve">. Приемная гильза должна быть индивидуальная. Должна быть одна пробная гильза.  Материалом индивидуальной постоянной гильзы должен быть литьевой слоистый пластик на основе акриловых смол, карбона. Крепление протеза должно осуществляться силиконовым чехлом, который должен поставляться в комплекте с протезом. Коленный модуль должен быть многоосный с гидравлической системой управления фазами опоры и </w:t>
            </w:r>
            <w:r w:rsidRPr="009A4ED7">
              <w:lastRenderedPageBreak/>
              <w:t>переноса. Стопа должна быть с гидроцилиндром и регулятором жесткости в сагиттальной плоскости, с карбоновыми пластинами. Стопа должна иметь формообразующую оболочку телесного цвета с пальцами. Материалом стопы должен быть титан, карбон.</w:t>
            </w:r>
          </w:p>
        </w:tc>
        <w:tc>
          <w:tcPr>
            <w:tcW w:w="1276" w:type="dxa"/>
            <w:shd w:val="clear" w:color="auto" w:fill="auto"/>
            <w:vAlign w:val="center"/>
          </w:tcPr>
          <w:p w:rsidR="006B2383" w:rsidRPr="009A4ED7" w:rsidRDefault="006B2383" w:rsidP="002C04AD">
            <w:pPr>
              <w:tabs>
                <w:tab w:val="left" w:pos="-180"/>
              </w:tabs>
              <w:jc w:val="center"/>
            </w:pPr>
          </w:p>
          <w:p w:rsidR="006B2383" w:rsidRPr="009A4ED7" w:rsidRDefault="006B2383" w:rsidP="002C04AD">
            <w:pPr>
              <w:tabs>
                <w:tab w:val="left" w:pos="-180"/>
              </w:tabs>
              <w:jc w:val="center"/>
            </w:pPr>
            <w:r w:rsidRPr="009A4ED7">
              <w:t>1</w:t>
            </w:r>
          </w:p>
        </w:tc>
      </w:tr>
      <w:tr w:rsidR="006B2383" w:rsidRPr="003A29A0" w:rsidTr="00353F42">
        <w:tc>
          <w:tcPr>
            <w:tcW w:w="10031" w:type="dxa"/>
            <w:gridSpan w:val="3"/>
            <w:shd w:val="clear" w:color="auto" w:fill="auto"/>
            <w:vAlign w:val="center"/>
          </w:tcPr>
          <w:p w:rsidR="006B2383" w:rsidRPr="006B2383" w:rsidRDefault="006B2383" w:rsidP="006B2383">
            <w:pPr>
              <w:tabs>
                <w:tab w:val="left" w:pos="2556"/>
              </w:tabs>
              <w:jc w:val="both"/>
              <w:rPr>
                <w:color w:val="000000"/>
              </w:rPr>
            </w:pPr>
            <w:r w:rsidRPr="006B2383">
              <w:rPr>
                <w:color w:val="000000"/>
              </w:rPr>
              <w:lastRenderedPageBreak/>
              <w:t>Гарантийный срок должен составлять не менее не менее 12 (Двенадцати) месяцев со дня подписания Получателем Акта сдачи-приемки Работ Получателем.</w:t>
            </w:r>
          </w:p>
          <w:p w:rsidR="006B2383" w:rsidRPr="006B2383" w:rsidRDefault="006B2383" w:rsidP="006B2383">
            <w:pPr>
              <w:tabs>
                <w:tab w:val="left" w:pos="2556"/>
              </w:tabs>
              <w:jc w:val="both"/>
              <w:rPr>
                <w:color w:val="000000"/>
              </w:rPr>
            </w:pPr>
            <w:r w:rsidRPr="006B2383">
              <w:rPr>
                <w:color w:val="000000"/>
              </w:rPr>
              <w:t>Срок службы должен составлять не менее не менее 24 (Двадцати четырех) месяцев со дня подписания Получателем Акта сдачи-приемки Работ Получателем.</w:t>
            </w:r>
          </w:p>
          <w:p w:rsidR="006B2383" w:rsidRPr="003A29A0" w:rsidRDefault="006B2383" w:rsidP="006B2383">
            <w:pPr>
              <w:snapToGrid w:val="0"/>
              <w:jc w:val="both"/>
              <w:rPr>
                <w:sz w:val="22"/>
                <w:szCs w:val="22"/>
              </w:rPr>
            </w:pPr>
            <w:r w:rsidRPr="006B2383">
              <w:rPr>
                <w:color w:val="000000"/>
              </w:rPr>
              <w:t>Срок службы должен быть не менее срока пользования, установленный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tc>
      </w:tr>
    </w:tbl>
    <w:p w:rsidR="001E3865" w:rsidRDefault="001E3865"/>
    <w:sectPr w:rsidR="001E3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DF"/>
    <w:rsid w:val="0015224B"/>
    <w:rsid w:val="001E3865"/>
    <w:rsid w:val="002962DF"/>
    <w:rsid w:val="002B3CA2"/>
    <w:rsid w:val="002E3B0A"/>
    <w:rsid w:val="00310851"/>
    <w:rsid w:val="00330BCC"/>
    <w:rsid w:val="0038502C"/>
    <w:rsid w:val="003A29A0"/>
    <w:rsid w:val="006B2383"/>
    <w:rsid w:val="00907E68"/>
    <w:rsid w:val="009C0A1A"/>
    <w:rsid w:val="00AE5871"/>
    <w:rsid w:val="00C174F9"/>
    <w:rsid w:val="00C86DF3"/>
    <w:rsid w:val="00D03064"/>
    <w:rsid w:val="00E32CB5"/>
    <w:rsid w:val="00F2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E32CB5"/>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E32CB5"/>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E32CB5"/>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E32CB5"/>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Стрельникова Наталья Леонидовна</cp:lastModifiedBy>
  <cp:revision>2</cp:revision>
  <dcterms:created xsi:type="dcterms:W3CDTF">2023-05-18T06:54:00Z</dcterms:created>
  <dcterms:modified xsi:type="dcterms:W3CDTF">2023-05-18T06:54:00Z</dcterms:modified>
</cp:coreProperties>
</file>