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46" w:rsidRPr="00437D06" w:rsidRDefault="00900C46" w:rsidP="00900C46">
      <w:pPr>
        <w:pStyle w:val="ConsNormal0"/>
        <w:widowControl/>
        <w:tabs>
          <w:tab w:val="left" w:pos="567"/>
        </w:tabs>
        <w:ind w:right="-2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7D06">
        <w:rPr>
          <w:rFonts w:ascii="Times New Roman" w:hAnsi="Times New Roman" w:cs="Times New Roman"/>
          <w:b/>
          <w:bCs/>
          <w:sz w:val="26"/>
          <w:szCs w:val="26"/>
        </w:rPr>
        <w:t xml:space="preserve">Техническое задание для проведения электронного аукциона </w:t>
      </w:r>
    </w:p>
    <w:p w:rsidR="00900C46" w:rsidRPr="00437D06" w:rsidRDefault="00900C46" w:rsidP="00900C46">
      <w:pPr>
        <w:pStyle w:val="ConsNormal0"/>
        <w:widowControl/>
        <w:tabs>
          <w:tab w:val="left" w:pos="567"/>
        </w:tabs>
        <w:ind w:right="-2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7D06">
        <w:rPr>
          <w:rFonts w:ascii="Times New Roman" w:hAnsi="Times New Roman" w:cs="Times New Roman"/>
          <w:b/>
          <w:bCs/>
          <w:sz w:val="26"/>
          <w:szCs w:val="26"/>
        </w:rPr>
        <w:t>на выполнение работ по изготовлению для застрахованн</w:t>
      </w:r>
      <w:r w:rsidR="004E04FC" w:rsidRPr="00437D06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237CCF" w:rsidRPr="00437D06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437D06">
        <w:rPr>
          <w:rFonts w:ascii="Times New Roman" w:hAnsi="Times New Roman" w:cs="Times New Roman"/>
          <w:b/>
          <w:bCs/>
          <w:sz w:val="26"/>
          <w:szCs w:val="26"/>
        </w:rPr>
        <w:t xml:space="preserve"> лиц, </w:t>
      </w:r>
    </w:p>
    <w:p w:rsidR="00900C46" w:rsidRPr="00437D06" w:rsidRDefault="00900C46" w:rsidP="00900C46">
      <w:pPr>
        <w:pStyle w:val="ConsNormal0"/>
        <w:widowControl/>
        <w:tabs>
          <w:tab w:val="left" w:pos="567"/>
        </w:tabs>
        <w:ind w:right="-2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7D06">
        <w:rPr>
          <w:rFonts w:ascii="Times New Roman" w:hAnsi="Times New Roman" w:cs="Times New Roman"/>
          <w:b/>
          <w:bCs/>
          <w:sz w:val="26"/>
          <w:szCs w:val="26"/>
        </w:rPr>
        <w:t>пострадавш</w:t>
      </w:r>
      <w:r w:rsidR="004E04FC" w:rsidRPr="00437D06"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="00033E3F" w:rsidRPr="00437D06">
        <w:rPr>
          <w:rFonts w:ascii="Times New Roman" w:hAnsi="Times New Roman" w:cs="Times New Roman"/>
          <w:b/>
          <w:bCs/>
          <w:sz w:val="26"/>
          <w:szCs w:val="26"/>
        </w:rPr>
        <w:t xml:space="preserve"> вследствие несчастных случаев</w:t>
      </w:r>
      <w:r w:rsidRPr="00437D06">
        <w:rPr>
          <w:rFonts w:ascii="Times New Roman" w:hAnsi="Times New Roman" w:cs="Times New Roman"/>
          <w:b/>
          <w:bCs/>
          <w:sz w:val="26"/>
          <w:szCs w:val="26"/>
        </w:rPr>
        <w:t xml:space="preserve"> на производстве, </w:t>
      </w:r>
    </w:p>
    <w:p w:rsidR="00E02E81" w:rsidRPr="00B31C64" w:rsidRDefault="00900C46" w:rsidP="00900C46">
      <w:pPr>
        <w:pStyle w:val="ConsNormal0"/>
        <w:widowControl/>
        <w:tabs>
          <w:tab w:val="left" w:pos="567"/>
        </w:tabs>
        <w:ind w:right="-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D06">
        <w:rPr>
          <w:rFonts w:ascii="Times New Roman" w:hAnsi="Times New Roman" w:cs="Times New Roman"/>
          <w:b/>
          <w:bCs/>
          <w:sz w:val="26"/>
          <w:szCs w:val="26"/>
        </w:rPr>
        <w:t>протез</w:t>
      </w:r>
      <w:r w:rsidR="00237CCF" w:rsidRPr="00437D06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4E04FC" w:rsidRPr="00437D06">
        <w:rPr>
          <w:rFonts w:ascii="Times New Roman" w:hAnsi="Times New Roman" w:cs="Times New Roman"/>
          <w:b/>
          <w:bCs/>
          <w:sz w:val="26"/>
          <w:szCs w:val="26"/>
        </w:rPr>
        <w:t xml:space="preserve"> нижних конечностей</w:t>
      </w:r>
    </w:p>
    <w:p w:rsidR="00E02E81" w:rsidRDefault="00E02E81" w:rsidP="00DB0F49"/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4677"/>
        <w:gridCol w:w="851"/>
        <w:gridCol w:w="1417"/>
        <w:gridCol w:w="1701"/>
      </w:tblGrid>
      <w:tr w:rsidR="00335150" w:rsidRPr="004E04FC" w:rsidTr="00C03D2F">
        <w:trPr>
          <w:trHeight w:val="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150" w:rsidRPr="004E04FC" w:rsidRDefault="00335150" w:rsidP="00335150">
            <w:pPr>
              <w:suppressAutoHyphens/>
              <w:autoSpaceDE w:val="0"/>
              <w:snapToGrid w:val="0"/>
              <w:spacing w:after="0" w:line="240" w:lineRule="auto"/>
              <w:ind w:left="-147" w:right="-167" w:firstLine="39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E04F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</w:p>
          <w:p w:rsidR="00335150" w:rsidRPr="004E04FC" w:rsidRDefault="00335150" w:rsidP="00335150">
            <w:pPr>
              <w:suppressAutoHyphens/>
              <w:autoSpaceDE w:val="0"/>
              <w:snapToGrid w:val="0"/>
              <w:spacing w:after="0" w:line="240" w:lineRule="auto"/>
              <w:ind w:left="-147" w:right="-167" w:firstLine="39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4E04F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4E04F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150" w:rsidRPr="004E04FC" w:rsidRDefault="00335150" w:rsidP="00335150">
            <w:pPr>
              <w:suppressAutoHyphens/>
              <w:autoSpaceDE w:val="0"/>
              <w:snapToGrid w:val="0"/>
              <w:spacing w:after="0" w:line="240" w:lineRule="auto"/>
              <w:ind w:left="-147" w:firstLine="39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E04F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Наименование </w:t>
            </w:r>
          </w:p>
          <w:p w:rsidR="00335150" w:rsidRPr="004E04FC" w:rsidRDefault="00335150" w:rsidP="00335150">
            <w:pPr>
              <w:suppressAutoHyphens/>
              <w:autoSpaceDE w:val="0"/>
              <w:snapToGrid w:val="0"/>
              <w:spacing w:after="0" w:line="240" w:lineRule="auto"/>
              <w:ind w:left="-147" w:firstLine="39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E04F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объекта закупки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150" w:rsidRPr="004E04FC" w:rsidRDefault="00335150" w:rsidP="00335150">
            <w:pPr>
              <w:suppressAutoHyphens/>
              <w:autoSpaceDE w:val="0"/>
              <w:snapToGrid w:val="0"/>
              <w:spacing w:after="0" w:line="240" w:lineRule="auto"/>
              <w:ind w:left="-147" w:right="-167" w:firstLine="567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E04F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Описание объекта закупки</w:t>
            </w:r>
          </w:p>
          <w:p w:rsidR="00335150" w:rsidRPr="004E04FC" w:rsidRDefault="00335150" w:rsidP="00335150">
            <w:pPr>
              <w:suppressAutoHyphens/>
              <w:autoSpaceDE w:val="0"/>
              <w:snapToGrid w:val="0"/>
              <w:spacing w:after="0" w:line="240" w:lineRule="auto"/>
              <w:ind w:left="-147" w:right="-167" w:firstLine="567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50" w:rsidRPr="004E04FC" w:rsidRDefault="00335150" w:rsidP="00BF461B">
            <w:pPr>
              <w:suppressAutoHyphens/>
              <w:autoSpaceDE w:val="0"/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E04F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Объем</w:t>
            </w:r>
          </w:p>
          <w:p w:rsidR="00335150" w:rsidRPr="004E04FC" w:rsidRDefault="005325B7" w:rsidP="00BF461B">
            <w:pPr>
              <w:suppressAutoHyphens/>
              <w:autoSpaceDE w:val="0"/>
              <w:snapToGrid w:val="0"/>
              <w:spacing w:after="0" w:line="240" w:lineRule="auto"/>
              <w:ind w:left="-109" w:right="-108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335150" w:rsidRPr="004E04F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акупки</w:t>
            </w:r>
            <w:r w:rsidR="00237CC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50" w:rsidRDefault="00335150" w:rsidP="00237CC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Цена</w:t>
            </w:r>
          </w:p>
          <w:p w:rsidR="00335150" w:rsidRPr="004E04FC" w:rsidRDefault="00335150" w:rsidP="00237CC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за </w:t>
            </w:r>
            <w:r w:rsidR="00237CC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единицу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50" w:rsidRDefault="00335150" w:rsidP="00335150">
            <w:pPr>
              <w:suppressAutoHyphens/>
              <w:autoSpaceDE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Общая </w:t>
            </w:r>
            <w:r w:rsidR="00237CC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стоимость</w:t>
            </w:r>
          </w:p>
          <w:p w:rsidR="00335150" w:rsidRPr="004E04FC" w:rsidRDefault="00335150" w:rsidP="00335150">
            <w:pPr>
              <w:suppressAutoHyphens/>
              <w:autoSpaceDE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(руб.)</w:t>
            </w:r>
          </w:p>
        </w:tc>
      </w:tr>
      <w:tr w:rsidR="00335150" w:rsidRPr="004E04FC" w:rsidTr="00C03D2F">
        <w:trPr>
          <w:trHeight w:val="4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150" w:rsidRPr="004E04FC" w:rsidRDefault="00C157ED" w:rsidP="00335150">
            <w:pPr>
              <w:suppressAutoHyphens/>
              <w:autoSpaceDE w:val="0"/>
              <w:snapToGrid w:val="0"/>
              <w:spacing w:after="0" w:line="240" w:lineRule="auto"/>
              <w:ind w:left="-149" w:right="-167" w:firstLine="149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150" w:rsidRPr="004E04FC" w:rsidRDefault="00335150" w:rsidP="003351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4FC">
              <w:rPr>
                <w:rFonts w:ascii="Times New Roman" w:hAnsi="Times New Roman" w:cs="Times New Roman"/>
                <w:bCs/>
                <w:sz w:val="24"/>
                <w:szCs w:val="24"/>
              </w:rPr>
              <w:t>Протез голени модульный, в том числе при недоразвитии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150" w:rsidRPr="00294C66" w:rsidRDefault="00C157ED" w:rsidP="00335150">
            <w:pPr>
              <w:pStyle w:val="ConsNormal0"/>
              <w:tabs>
                <w:tab w:val="left" w:pos="809"/>
              </w:tabs>
              <w:ind w:right="-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голени  модульный без полимерного чехла. Формообразующая часть косметической оболочки модульная мягкая полиуретановая. Косметическое покрытие облицовки чулки ортопедические </w:t>
            </w:r>
            <w:proofErr w:type="spell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силоновые</w:t>
            </w:r>
            <w:proofErr w:type="spell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Приёмная гильза индивидуальная, по мерке или слепку с культи инвалида.  Материал  индивидуальной постоянной гильзы: кожа или литьевой слоистый пластик на основе полиамидных или акриловых смол. Допускается применение вкладной гильзы из вспененных материалов или кожи или без неё. Крепление протеза вакуумное с  герметизирующим коленным бандажом или с использованием гильзы (манжета с шинами) на бедро и кожаных полуфабрикатов. Регулировочно-соединительные  устройства и стопа соответствуют весу застрахованному лицу. </w:t>
            </w:r>
            <w:proofErr w:type="gram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Стопа шарнирная или без шарнирная, предназначена для пациентов, имеющих одностороннюю или двухстороннюю ампутацию голени на любом уровне.</w:t>
            </w:r>
            <w:proofErr w:type="gram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Стопа с голеностопным шарниром, подвижным в сагиттальной плоскости, со сменным пяточным амортизатором. Или стопа с голеностопным шарниром, подвижным в сагиттальной плоскости, с двухступенчатой регулируемой пациентом высотой каблука. Протез может использоваться для первичного протезирования как лечебно-тренировочный  и для пациентов любого уровня активности.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50" w:rsidRPr="004E04FC" w:rsidRDefault="00294C66" w:rsidP="0033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50" w:rsidRPr="004E04FC" w:rsidRDefault="00335150" w:rsidP="00C0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D2F">
              <w:rPr>
                <w:rFonts w:ascii="Times New Roman" w:hAnsi="Times New Roman" w:cs="Times New Roman"/>
                <w:sz w:val="24"/>
                <w:szCs w:val="24"/>
              </w:rPr>
              <w:t>50 033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50" w:rsidRPr="004E04FC" w:rsidRDefault="00C03D2F" w:rsidP="00C03D2F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750 166</w:t>
            </w:r>
            <w:r w:rsidR="003351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85460" w:rsidRPr="004E04FC" w:rsidTr="00C03D2F">
        <w:trPr>
          <w:trHeight w:val="52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E85460" w:rsidRPr="004E04FC" w:rsidRDefault="00C157ED" w:rsidP="00335150">
            <w:pPr>
              <w:suppressAutoHyphens/>
              <w:autoSpaceDE w:val="0"/>
              <w:snapToGrid w:val="0"/>
              <w:spacing w:after="0" w:line="240" w:lineRule="auto"/>
              <w:ind w:left="-149" w:right="-167" w:firstLine="149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85460" w:rsidRPr="004E04FC" w:rsidRDefault="00E85460" w:rsidP="004E04F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4FC">
              <w:rPr>
                <w:rFonts w:ascii="Times New Roman" w:hAnsi="Times New Roman" w:cs="Times New Roman"/>
                <w:bCs/>
                <w:sz w:val="24"/>
                <w:szCs w:val="24"/>
              </w:rPr>
              <w:t>Протез голени модульный, в том числе при недоразвитии (низкого уровня активности)</w:t>
            </w:r>
          </w:p>
          <w:p w:rsidR="00E85460" w:rsidRPr="004E04FC" w:rsidRDefault="00E85460" w:rsidP="003351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</w:tcBorders>
          </w:tcPr>
          <w:p w:rsidR="00E85460" w:rsidRPr="00294C66" w:rsidRDefault="00C157ED" w:rsidP="00E85460">
            <w:pPr>
              <w:pStyle w:val="ConsNormal0"/>
              <w:tabs>
                <w:tab w:val="left" w:pos="809"/>
              </w:tabs>
              <w:ind w:right="-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голени модульный без полимерного чехла. Формообразующая часть косметической облицовки  листовой поролон или без оболочки. Косметическое покрытие облицовки  чулки ортопедические </w:t>
            </w:r>
            <w:proofErr w:type="spell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силоновые</w:t>
            </w:r>
            <w:proofErr w:type="spell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без чулок. Приемная гильза   индивидуальная по слепку с культи инвалида.  Материал индивидуальной постоянной гильзы: кожа или литьевой слоистый пластик на основе полиамидных или акриловых смол. Допускается применение вкладной гильзы из вспененных материалов или кожи или без нее. Крепление протеза  с использованием гильзы (манжеты с шинами)  бедра и кожаных полуфабрикатов. Регулировочно-соединительные устройства  соответствуют весу застрахованному лицу. Стопа  с повышенной упругостью носочной части.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460" w:rsidRPr="004E04FC" w:rsidRDefault="00E85460" w:rsidP="0033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460" w:rsidRPr="004E04FC" w:rsidRDefault="00C03D2F" w:rsidP="0033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64 400</w:t>
            </w:r>
            <w:r w:rsidR="00E8546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460" w:rsidRPr="004E04FC" w:rsidRDefault="00C03D2F" w:rsidP="0033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64 400,00</w:t>
            </w:r>
          </w:p>
        </w:tc>
      </w:tr>
      <w:tr w:rsidR="00335150" w:rsidRPr="004E04FC" w:rsidTr="00C03D2F">
        <w:trPr>
          <w:trHeight w:val="4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150" w:rsidRPr="004E04FC" w:rsidRDefault="00C157ED" w:rsidP="00335150">
            <w:pPr>
              <w:suppressAutoHyphens/>
              <w:autoSpaceDE w:val="0"/>
              <w:snapToGrid w:val="0"/>
              <w:spacing w:after="0" w:line="240" w:lineRule="auto"/>
              <w:ind w:left="-149" w:right="-167" w:firstLine="149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150" w:rsidRPr="004E04FC" w:rsidRDefault="00335150" w:rsidP="003351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4FC">
              <w:rPr>
                <w:rFonts w:ascii="Times New Roman" w:hAnsi="Times New Roman" w:cs="Times New Roman"/>
                <w:bCs/>
                <w:sz w:val="24"/>
                <w:szCs w:val="24"/>
              </w:rPr>
              <w:t>Протез голени модульный, в том числе при недоразвитии (среднего уровня активности)</w:t>
            </w:r>
          </w:p>
          <w:p w:rsidR="00335150" w:rsidRPr="004E04FC" w:rsidRDefault="00335150" w:rsidP="003351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150" w:rsidRPr="00294C66" w:rsidRDefault="00C157ED" w:rsidP="00335150">
            <w:pPr>
              <w:pStyle w:val="ConsNormal0"/>
              <w:tabs>
                <w:tab w:val="left" w:pos="809"/>
              </w:tabs>
              <w:ind w:right="-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голени модульный без полимерного чехла. Формообразующая часть косметической облицовки  модульная мягкая полиуретановая. Косметическое покрытие облицовки  чулки ортопедические </w:t>
            </w:r>
            <w:proofErr w:type="spell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силоновые</w:t>
            </w:r>
            <w:proofErr w:type="spell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Приемная гильза индивидуальная по слепку с культи инвалида. Материал индивидуальной гильзы: литьевой слоистый пластик на основе полиамидных или акриловых смол. Допускается применение вкладной гильзы из вспененных материалов или без нее. Крепление протеза с использованием кожаных полуфабрикатов или за счет формы приемной гильзы. Регулировочно-соединительные устройства соответствуют весу застрахованному лицу. Стопа подвижная во всех вертикальных плоскостях со средней степенью энергосбережения для пациентов среднего уровня активности. Протез может использоваться для первичного протезирования как лечебно-тренировочный.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50" w:rsidRPr="004E04FC" w:rsidRDefault="00335150" w:rsidP="0033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50" w:rsidRPr="004E04FC" w:rsidRDefault="00C03D2F" w:rsidP="00C0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132 633,33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50" w:rsidRPr="004E04FC" w:rsidRDefault="00C03D2F" w:rsidP="0033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132 633,33</w:t>
            </w:r>
          </w:p>
        </w:tc>
      </w:tr>
      <w:tr w:rsidR="00335150" w:rsidRPr="004E04FC" w:rsidTr="00C03D2F">
        <w:trPr>
          <w:trHeight w:val="4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150" w:rsidRPr="004E04FC" w:rsidRDefault="00C157ED" w:rsidP="00335150">
            <w:pPr>
              <w:suppressAutoHyphens/>
              <w:autoSpaceDE w:val="0"/>
              <w:snapToGrid w:val="0"/>
              <w:spacing w:after="0" w:line="240" w:lineRule="auto"/>
              <w:ind w:left="-149" w:right="-167" w:firstLine="149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150" w:rsidRPr="004E04FC" w:rsidRDefault="00335150" w:rsidP="003351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4FC">
              <w:rPr>
                <w:rFonts w:ascii="Times New Roman" w:hAnsi="Times New Roman" w:cs="Times New Roman"/>
                <w:bCs/>
                <w:sz w:val="24"/>
                <w:szCs w:val="24"/>
              </w:rPr>
              <w:t>Протез голени модульный, в том числе при недоразвитии (высокого уровня активности)</w:t>
            </w:r>
          </w:p>
          <w:p w:rsidR="00335150" w:rsidRPr="004E04FC" w:rsidRDefault="00335150" w:rsidP="00335150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150" w:rsidRPr="00294C66" w:rsidRDefault="00C157ED" w:rsidP="00335150">
            <w:pPr>
              <w:pStyle w:val="ConsNormal0"/>
              <w:tabs>
                <w:tab w:val="left" w:pos="809"/>
              </w:tabs>
              <w:ind w:right="-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голени модульный с полимерным чехлом с высоким уровнем стабилизации. Формообразующая часть косметической оболочки  модульная мягкая полиуретановая. Косметическое покрытие облицовки  чулки ортопедические </w:t>
            </w:r>
            <w:proofErr w:type="spell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силоновые</w:t>
            </w:r>
            <w:proofErr w:type="spell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допускается защитное пленочное покрытие. Приемная гильза индивидуальная по слепку с культи (с надетым полимерным чехлом) инвалида. Допускается одна пробная гильза из листового термопласта. Материал постоянной гильзы литьевой слоистый пластик на основе акриловых смол. Крепление протеза с использованием замка для полимерных чехлов или вакуумное с использованием герметизирующего коленного бандажа.  Регулировочно-соединительные устройства соответствуют весу застрахованному лицу. Стопа с высокой степенью энергосбережения с повышенной упругостью носочной части для пациентов высокого уровня активности.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50" w:rsidRPr="004E04FC" w:rsidRDefault="00294C66" w:rsidP="0033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50" w:rsidRPr="004E04FC" w:rsidRDefault="00E85460" w:rsidP="00C0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C03D2F">
              <w:rPr>
                <w:rFonts w:ascii="Times New Roman" w:hAnsi="Times New Roman" w:cs="Times New Roman"/>
                <w:sz w:val="24"/>
                <w:szCs w:val="24"/>
              </w:rPr>
              <w:t> 133,33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50" w:rsidRPr="004E04FC" w:rsidRDefault="00E85460" w:rsidP="00C0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D2F">
              <w:rPr>
                <w:rFonts w:ascii="Times New Roman" w:hAnsi="Times New Roman" w:cs="Times New Roman"/>
                <w:sz w:val="24"/>
                <w:szCs w:val="24"/>
              </w:rPr>
              <w:t> 092 533,32</w:t>
            </w:r>
          </w:p>
        </w:tc>
      </w:tr>
      <w:tr w:rsidR="00335150" w:rsidRPr="004E04FC" w:rsidTr="00C03D2F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150" w:rsidRPr="004E04FC" w:rsidRDefault="00C157ED" w:rsidP="00335150">
            <w:pPr>
              <w:suppressAutoHyphens/>
              <w:autoSpaceDE w:val="0"/>
              <w:snapToGrid w:val="0"/>
              <w:spacing w:after="0" w:line="240" w:lineRule="auto"/>
              <w:ind w:left="-149" w:right="-167" w:firstLine="149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150" w:rsidRPr="004E04FC" w:rsidRDefault="00335150" w:rsidP="003351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4FC">
              <w:rPr>
                <w:rFonts w:ascii="Times New Roman" w:hAnsi="Times New Roman" w:cs="Times New Roman"/>
                <w:bCs/>
                <w:sz w:val="24"/>
                <w:szCs w:val="24"/>
              </w:rPr>
              <w:t>Протез голени для купания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150" w:rsidRPr="00294C66" w:rsidRDefault="00C157ED" w:rsidP="00335150">
            <w:pPr>
              <w:pStyle w:val="ConsNormal0"/>
              <w:tabs>
                <w:tab w:val="left" w:pos="809"/>
              </w:tabs>
              <w:ind w:right="-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голени для купания  модульный, без полимерного чехла. Без косметической оболочки. Приёмная гильза индивидуальная, по  слепку с культи инвалида из слоистого пластика на основе акриловых смол. Допускается применение вкладной гильзы из вспененных материалов  или без неё. Крепление герметизирующим коленным бандажом. Регулировочно-соединительное  устройство на нагрузку  до 100 кг. Стопа с протектором, снижающим эффект </w:t>
            </w:r>
            <w:proofErr w:type="spell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подскальзывания</w:t>
            </w:r>
            <w:proofErr w:type="spell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 контакте с мокрой поверхностью водостойкая.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50" w:rsidRPr="004E04FC" w:rsidRDefault="007D3960" w:rsidP="00335150">
            <w:pPr>
              <w:suppressAutoHyphens/>
              <w:autoSpaceDE w:val="0"/>
              <w:snapToGrid w:val="0"/>
              <w:spacing w:after="0" w:line="240" w:lineRule="auto"/>
              <w:ind w:left="-149" w:right="-167" w:firstLine="149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50" w:rsidRPr="004E04FC" w:rsidRDefault="007D3960" w:rsidP="00335150">
            <w:pPr>
              <w:suppressAutoHyphens/>
              <w:autoSpaceDE w:val="0"/>
              <w:snapToGrid w:val="0"/>
              <w:spacing w:after="0" w:line="240" w:lineRule="auto"/>
              <w:ind w:left="-149" w:right="-167" w:firstLine="149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144 200,00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50" w:rsidRPr="004E04FC" w:rsidRDefault="007D3960" w:rsidP="00335150">
            <w:pPr>
              <w:suppressAutoHyphens/>
              <w:autoSpaceDE w:val="0"/>
              <w:snapToGrid w:val="0"/>
              <w:spacing w:after="0" w:line="240" w:lineRule="auto"/>
              <w:ind w:left="-149" w:right="-167" w:firstLine="149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288 400,00</w:t>
            </w:r>
          </w:p>
        </w:tc>
      </w:tr>
      <w:tr w:rsidR="00C157ED" w:rsidRPr="004E04FC" w:rsidTr="00C03D2F">
        <w:trPr>
          <w:trHeight w:val="63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7ED" w:rsidRPr="004E04FC" w:rsidRDefault="00C157ED" w:rsidP="00335150">
            <w:pPr>
              <w:suppressAutoHyphens/>
              <w:autoSpaceDE w:val="0"/>
              <w:snapToGrid w:val="0"/>
              <w:spacing w:after="0" w:line="240" w:lineRule="auto"/>
              <w:ind w:left="-149" w:right="-167" w:firstLine="149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7ED" w:rsidRPr="004E04FC" w:rsidRDefault="00C157ED" w:rsidP="003351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4FC">
              <w:rPr>
                <w:rFonts w:ascii="Times New Roman" w:hAnsi="Times New Roman" w:cs="Times New Roman"/>
                <w:bCs/>
                <w:sz w:val="24"/>
                <w:szCs w:val="24"/>
              </w:rPr>
              <w:t>Протез бедра модульный, в том числе при врожденном недоразвитии (высокого уровня активности)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7ED" w:rsidRPr="00294C66" w:rsidRDefault="00C157ED" w:rsidP="00C157E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бедра модульный с полимерным чехлом. Формообразующая часть косметической оболочки модульная мягкая полиуретановая. Косметическое покрытие облицовки чулки ортопедические </w:t>
            </w:r>
            <w:proofErr w:type="spell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силоновые</w:t>
            </w:r>
            <w:proofErr w:type="spell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допускается покрытие защитное пленочное. Приемная гильза индивидуальная по слепку с культи застрахованного лица или с надетым на культю полимерным чехлом. Допускается примерочная гильза из листового термопластичного пластика. Материал индивидуальной постоянной гильзы слоистый пластик на основе  акриловых смол. Регулировочно-соединительные устройства соответствуют весу застрахованному лицу. Крепление протеза с использованием замка для полимерных чехлов или вакуумное. </w:t>
            </w:r>
            <w:proofErr w:type="gram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Коленный шарнир полицентрический с «геометрическим замком» с независимым гидравлическим или пневматическим регулированием фаз сгибания-разгибания, с замком, </w:t>
            </w:r>
            <w:proofErr w:type="spell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отключающимся</w:t>
            </w:r>
            <w:proofErr w:type="spell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переходе на передний отдел стопы, с упругим подгибанием.</w:t>
            </w:r>
            <w:proofErr w:type="gram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Стопа с высокой степенью энергосбережения, предназначенная для пациентов высокого уровня активности. Может применяться поворотное устройство.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ED" w:rsidRPr="004E04FC" w:rsidRDefault="00C03D2F" w:rsidP="0033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ED" w:rsidRPr="004E04FC" w:rsidRDefault="00C03D2F" w:rsidP="0033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7D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ED" w:rsidRPr="004E04FC" w:rsidRDefault="00C03D2F" w:rsidP="0033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7D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666,68</w:t>
            </w:r>
          </w:p>
        </w:tc>
      </w:tr>
      <w:tr w:rsidR="00C157ED" w:rsidRPr="004E04FC" w:rsidTr="00C03D2F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7ED" w:rsidRPr="004E04FC" w:rsidRDefault="00C157ED" w:rsidP="00335150">
            <w:pPr>
              <w:suppressAutoHyphens/>
              <w:autoSpaceDE w:val="0"/>
              <w:snapToGrid w:val="0"/>
              <w:spacing w:after="0" w:line="240" w:lineRule="auto"/>
              <w:ind w:left="-149" w:right="-167" w:firstLine="149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7ED" w:rsidRPr="004E04FC" w:rsidRDefault="00C157ED" w:rsidP="003351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4FC">
              <w:rPr>
                <w:rFonts w:ascii="Times New Roman" w:hAnsi="Times New Roman" w:cs="Times New Roman"/>
                <w:bCs/>
                <w:sz w:val="24"/>
                <w:szCs w:val="24"/>
              </w:rPr>
              <w:t>Протез бедра модульный, в том числе при врожденном недоразвитии (среднего уровня активности)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7ED" w:rsidRPr="00294C66" w:rsidRDefault="00C157ED" w:rsidP="00C157E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бедра модульный без полимерного чехла. Формообразующая часть косметической оболочки модульная мягкая полиуретановая. Косметическое покрытие облицовки чулки ортопедические </w:t>
            </w:r>
            <w:proofErr w:type="spell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силоновые</w:t>
            </w:r>
            <w:proofErr w:type="spell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допускается покрытие защитное пленочное. Приемная гильза унифицированная (без пробных гильз) по мерке с культи инвалида или индивидуальная (одна примерочная гильза). Материал унифицированной постоянной гильзы: кожа, слоистый пластик на основе полиамидных или акриловых смол. Материал </w:t>
            </w:r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индивидуальной постоянной гильзы: литьевой слоистый пластик на основе акриловых смол, примерочной - листовой термопластичный пластик. Крепление протеза поясное из кожаных полуфабрикатов, или с использованием бандажа, или вакуумное. Регулировочно-соединительные устройства соответствуют весу застрахованному лицу. Стопа подвижная во всех вертикальных плоскостях со средней степенью энергосбережения для пациентов среднего уровня активности. Коленный шарнир полицентрический с «геометрическим замком» с независимым механическим  регулированием фаз сгибания-разгибания, или пневматический; или коленный шарнир одноосный с механизмом торможения под нагрузкой. Допускается коленный шарнир с ручным замком. Может </w:t>
            </w:r>
            <w:proofErr w:type="gramStart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применятся</w:t>
            </w:r>
            <w:proofErr w:type="gramEnd"/>
            <w:r w:rsidRPr="0029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поворотное устройство. Протез может использоваться для первичного протезирования как лечебно-тренировочный.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ED" w:rsidRPr="004E04FC" w:rsidRDefault="007D3960" w:rsidP="0033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ED" w:rsidRPr="004E04FC" w:rsidRDefault="007D3960" w:rsidP="0033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ED" w:rsidRPr="004E04FC" w:rsidRDefault="007D3960" w:rsidP="0033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637 800,00</w:t>
            </w:r>
          </w:p>
        </w:tc>
      </w:tr>
      <w:tr w:rsidR="00C03D2F" w:rsidRPr="00C03D2F" w:rsidTr="00C03D2F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2F" w:rsidRPr="00C03D2F" w:rsidRDefault="00C03D2F" w:rsidP="00C03D2F">
            <w:pPr>
              <w:pStyle w:val="3"/>
              <w:keepLines/>
              <w:widowControl/>
              <w:suppressLineNumbers/>
              <w:spacing w:line="276" w:lineRule="auto"/>
              <w:ind w:right="142" w:firstLine="0"/>
              <w:rPr>
                <w:iCs/>
                <w:sz w:val="22"/>
                <w:szCs w:val="22"/>
              </w:rPr>
            </w:pPr>
            <w:r w:rsidRPr="00C03D2F">
              <w:rPr>
                <w:iCs/>
                <w:sz w:val="22"/>
                <w:szCs w:val="22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2F" w:rsidRPr="00C03D2F" w:rsidRDefault="00C03D2F" w:rsidP="00C03D2F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3D2F">
              <w:rPr>
                <w:rFonts w:ascii="Times New Roman" w:hAnsi="Times New Roman" w:cs="Times New Roman"/>
                <w:bCs/>
                <w:color w:val="000000"/>
              </w:rPr>
              <w:t>Протез бедра для купания</w:t>
            </w:r>
          </w:p>
          <w:p w:rsidR="00C03D2F" w:rsidRPr="00C03D2F" w:rsidRDefault="00C03D2F" w:rsidP="00C03D2F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D2F" w:rsidRPr="00C03D2F" w:rsidRDefault="00C03D2F" w:rsidP="00C03D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D2F">
              <w:rPr>
                <w:rFonts w:ascii="Times New Roman" w:hAnsi="Times New Roman" w:cs="Times New Roman"/>
              </w:rPr>
              <w:t xml:space="preserve">Протез бедра для купания без полимерного чехла. Приемная гильза индивидуальная (одна примерочная гильза). Материал гильзы литьевой слоистый пластик на основе акриловых смол. Крепление протеза вакуумное. Регулировочно-соединительные устройства  соответствуют весу </w:t>
            </w:r>
            <w:r w:rsidRPr="00C03D2F">
              <w:rPr>
                <w:rFonts w:ascii="Times New Roman" w:hAnsi="Times New Roman" w:cs="Times New Roman"/>
                <w:color w:val="000000"/>
              </w:rPr>
              <w:t>застрахованному лицу</w:t>
            </w:r>
            <w:r w:rsidRPr="00C03D2F">
              <w:rPr>
                <w:rFonts w:ascii="Times New Roman" w:hAnsi="Times New Roman" w:cs="Times New Roman"/>
              </w:rPr>
              <w:t xml:space="preserve">. Стопа с протектором, снижающим эффект </w:t>
            </w:r>
            <w:proofErr w:type="spellStart"/>
            <w:r w:rsidRPr="00C03D2F">
              <w:rPr>
                <w:rFonts w:ascii="Times New Roman" w:hAnsi="Times New Roman" w:cs="Times New Roman"/>
              </w:rPr>
              <w:t>подскальзывания</w:t>
            </w:r>
            <w:proofErr w:type="spellEnd"/>
            <w:r w:rsidRPr="00C03D2F">
              <w:rPr>
                <w:rFonts w:ascii="Times New Roman" w:hAnsi="Times New Roman" w:cs="Times New Roman"/>
              </w:rPr>
              <w:t xml:space="preserve"> при контакте с мокрой поверхностью,  водостойкая. Коленный модуль водостойкий замковый или без замка.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2F" w:rsidRPr="00C03D2F" w:rsidRDefault="00C03D2F" w:rsidP="00C03D2F">
            <w:pPr>
              <w:keepNext/>
              <w:keepLines/>
              <w:suppressLineNumber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2F" w:rsidRPr="00C03D2F" w:rsidRDefault="00C03D2F" w:rsidP="007D3960">
            <w:pPr>
              <w:pStyle w:val="3"/>
              <w:keepLines/>
              <w:widowControl/>
              <w:suppressLineNumbers/>
              <w:spacing w:line="276" w:lineRule="auto"/>
              <w:ind w:right="142"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248</w:t>
            </w:r>
            <w:r w:rsidR="007D3960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666,67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2F" w:rsidRPr="00C03D2F" w:rsidRDefault="00C03D2F" w:rsidP="00C03D2F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497</w:t>
            </w:r>
            <w:r w:rsidR="007D396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333,34</w:t>
            </w:r>
          </w:p>
        </w:tc>
      </w:tr>
      <w:tr w:rsidR="00C157ED" w:rsidRPr="004E04FC" w:rsidTr="00C03D2F">
        <w:trPr>
          <w:trHeight w:val="702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7ED" w:rsidRPr="00AE63F8" w:rsidRDefault="00C157ED" w:rsidP="00AE63F8">
            <w:pPr>
              <w:pStyle w:val="ConsNormal0"/>
              <w:tabs>
                <w:tab w:val="left" w:pos="809"/>
              </w:tabs>
              <w:ind w:right="-3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F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ED" w:rsidRPr="004E04FC" w:rsidRDefault="00C157ED" w:rsidP="00C0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ED" w:rsidRDefault="00C157ED" w:rsidP="0033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7ED" w:rsidRDefault="00AE7962" w:rsidP="0033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5 415 933,32</w:t>
            </w:r>
            <w:r w:rsidR="00C157ED" w:rsidRPr="00685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80FC9" w:rsidRDefault="00880FC9" w:rsidP="00E02E81">
      <w:pPr>
        <w:ind w:left="-1134"/>
        <w:rPr>
          <w:b/>
        </w:rPr>
      </w:pPr>
    </w:p>
    <w:p w:rsidR="00900C46" w:rsidRPr="006850DF" w:rsidRDefault="00900C46" w:rsidP="00AA29D9">
      <w:pPr>
        <w:keepNext/>
        <w:keepLines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0DF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</w:t>
      </w:r>
      <w:r w:rsidRPr="006850DF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 w:rsidR="00C157ED">
        <w:rPr>
          <w:rFonts w:ascii="Times New Roman" w:hAnsi="Times New Roman" w:cs="Times New Roman"/>
          <w:sz w:val="24"/>
          <w:szCs w:val="24"/>
        </w:rPr>
        <w:t>5</w:t>
      </w:r>
      <w:r w:rsidR="000C4857">
        <w:rPr>
          <w:rFonts w:ascii="Times New Roman" w:hAnsi="Times New Roman" w:cs="Times New Roman"/>
          <w:sz w:val="24"/>
          <w:szCs w:val="24"/>
        </w:rPr>
        <w:t> </w:t>
      </w:r>
      <w:r w:rsidR="00C157ED">
        <w:rPr>
          <w:rFonts w:ascii="Times New Roman" w:hAnsi="Times New Roman" w:cs="Times New Roman"/>
          <w:sz w:val="24"/>
          <w:szCs w:val="24"/>
        </w:rPr>
        <w:t>415</w:t>
      </w:r>
      <w:r w:rsidR="000C4857">
        <w:rPr>
          <w:rFonts w:ascii="Times New Roman" w:hAnsi="Times New Roman" w:cs="Times New Roman"/>
          <w:sz w:val="24"/>
          <w:szCs w:val="24"/>
        </w:rPr>
        <w:t xml:space="preserve"> </w:t>
      </w:r>
      <w:r w:rsidR="00C157ED">
        <w:rPr>
          <w:rFonts w:ascii="Times New Roman" w:hAnsi="Times New Roman" w:cs="Times New Roman"/>
          <w:sz w:val="24"/>
          <w:szCs w:val="24"/>
        </w:rPr>
        <w:t>933,32</w:t>
      </w:r>
      <w:r w:rsidRPr="006850DF">
        <w:rPr>
          <w:rFonts w:ascii="Times New Roman" w:hAnsi="Times New Roman" w:cs="Times New Roman"/>
          <w:sz w:val="24"/>
          <w:szCs w:val="24"/>
        </w:rPr>
        <w:t xml:space="preserve">  (</w:t>
      </w:r>
      <w:r w:rsidR="00C157ED">
        <w:rPr>
          <w:rFonts w:ascii="Times New Roman" w:hAnsi="Times New Roman" w:cs="Times New Roman"/>
          <w:sz w:val="24"/>
          <w:szCs w:val="24"/>
        </w:rPr>
        <w:t>Пять</w:t>
      </w:r>
      <w:r w:rsidRPr="006850DF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C157ED">
        <w:rPr>
          <w:rFonts w:ascii="Times New Roman" w:hAnsi="Times New Roman" w:cs="Times New Roman"/>
          <w:sz w:val="24"/>
          <w:szCs w:val="24"/>
        </w:rPr>
        <w:t>ов</w:t>
      </w:r>
      <w:r w:rsidRPr="006850DF">
        <w:rPr>
          <w:rFonts w:ascii="Times New Roman" w:hAnsi="Times New Roman" w:cs="Times New Roman"/>
          <w:sz w:val="24"/>
          <w:szCs w:val="24"/>
        </w:rPr>
        <w:t xml:space="preserve"> </w:t>
      </w:r>
      <w:r w:rsidR="00C157ED">
        <w:rPr>
          <w:rFonts w:ascii="Times New Roman" w:hAnsi="Times New Roman" w:cs="Times New Roman"/>
          <w:sz w:val="24"/>
          <w:szCs w:val="24"/>
        </w:rPr>
        <w:t>четыреста пятнадцать</w:t>
      </w:r>
      <w:r w:rsidRPr="006850DF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157ED">
        <w:rPr>
          <w:rFonts w:ascii="Times New Roman" w:hAnsi="Times New Roman" w:cs="Times New Roman"/>
          <w:sz w:val="24"/>
          <w:szCs w:val="24"/>
        </w:rPr>
        <w:t>девятьсот</w:t>
      </w:r>
      <w:r w:rsidR="004E04FC" w:rsidRPr="006850DF">
        <w:rPr>
          <w:rFonts w:ascii="Times New Roman" w:hAnsi="Times New Roman" w:cs="Times New Roman"/>
          <w:sz w:val="24"/>
          <w:szCs w:val="24"/>
        </w:rPr>
        <w:t xml:space="preserve"> </w:t>
      </w:r>
      <w:r w:rsidR="00294C66">
        <w:rPr>
          <w:rFonts w:ascii="Times New Roman" w:hAnsi="Times New Roman" w:cs="Times New Roman"/>
          <w:sz w:val="24"/>
          <w:szCs w:val="24"/>
        </w:rPr>
        <w:t>тридцать</w:t>
      </w:r>
      <w:r w:rsidRPr="006850DF">
        <w:rPr>
          <w:rFonts w:ascii="Times New Roman" w:hAnsi="Times New Roman" w:cs="Times New Roman"/>
          <w:sz w:val="24"/>
          <w:szCs w:val="24"/>
        </w:rPr>
        <w:t xml:space="preserve"> три) рубля </w:t>
      </w:r>
      <w:r w:rsidR="004E04FC" w:rsidRPr="006850DF">
        <w:rPr>
          <w:rFonts w:ascii="Times New Roman" w:hAnsi="Times New Roman" w:cs="Times New Roman"/>
          <w:sz w:val="24"/>
          <w:szCs w:val="24"/>
        </w:rPr>
        <w:t>3</w:t>
      </w:r>
      <w:r w:rsidR="00294C66">
        <w:rPr>
          <w:rFonts w:ascii="Times New Roman" w:hAnsi="Times New Roman" w:cs="Times New Roman"/>
          <w:sz w:val="24"/>
          <w:szCs w:val="24"/>
        </w:rPr>
        <w:t>2</w:t>
      </w:r>
      <w:r w:rsidRPr="006850DF">
        <w:rPr>
          <w:rFonts w:ascii="Times New Roman" w:hAnsi="Times New Roman" w:cs="Times New Roman"/>
          <w:sz w:val="24"/>
          <w:szCs w:val="24"/>
        </w:rPr>
        <w:t xml:space="preserve"> копе</w:t>
      </w:r>
      <w:r w:rsidR="00237CCF">
        <w:rPr>
          <w:rFonts w:ascii="Times New Roman" w:hAnsi="Times New Roman" w:cs="Times New Roman"/>
          <w:sz w:val="24"/>
          <w:szCs w:val="24"/>
        </w:rPr>
        <w:t>йк</w:t>
      </w:r>
      <w:r w:rsidR="00294C66">
        <w:rPr>
          <w:rFonts w:ascii="Times New Roman" w:hAnsi="Times New Roman" w:cs="Times New Roman"/>
          <w:sz w:val="24"/>
          <w:szCs w:val="24"/>
        </w:rPr>
        <w:t>и</w:t>
      </w:r>
      <w:r w:rsidRPr="00685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960" w:rsidRDefault="00900C46" w:rsidP="007D3960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46BA">
        <w:rPr>
          <w:rFonts w:ascii="Times New Roman" w:hAnsi="Times New Roman" w:cs="Times New Roman"/>
          <w:b/>
          <w:iCs/>
          <w:sz w:val="24"/>
          <w:szCs w:val="24"/>
        </w:rPr>
        <w:t>Место выполнения работ</w:t>
      </w:r>
      <w:r w:rsidRPr="004446B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446BA">
        <w:rPr>
          <w:rFonts w:ascii="Times New Roman" w:hAnsi="Times New Roman" w:cs="Times New Roman"/>
          <w:iCs/>
          <w:sz w:val="24"/>
          <w:szCs w:val="24"/>
        </w:rPr>
        <w:t>по месту изготовления Издели</w:t>
      </w:r>
      <w:r w:rsidR="00335150">
        <w:rPr>
          <w:rFonts w:ascii="Times New Roman" w:hAnsi="Times New Roman" w:cs="Times New Roman"/>
          <w:iCs/>
          <w:sz w:val="24"/>
          <w:szCs w:val="24"/>
        </w:rPr>
        <w:t>й</w:t>
      </w:r>
      <w:r w:rsidRPr="004446BA">
        <w:rPr>
          <w:rFonts w:ascii="Times New Roman" w:hAnsi="Times New Roman" w:cs="Times New Roman"/>
          <w:iCs/>
          <w:sz w:val="24"/>
          <w:szCs w:val="24"/>
        </w:rPr>
        <w:t>.</w:t>
      </w:r>
    </w:p>
    <w:p w:rsidR="00B96965" w:rsidRPr="004446BA" w:rsidRDefault="00833B67" w:rsidP="007D3960">
      <w:pPr>
        <w:spacing w:after="0" w:line="240" w:lineRule="auto"/>
        <w:ind w:right="283"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мерок, примерки</w:t>
      </w:r>
      <w:r w:rsidR="00B96965" w:rsidRPr="004446BA">
        <w:rPr>
          <w:rFonts w:ascii="Times New Roman" w:hAnsi="Times New Roman" w:cs="Times New Roman"/>
          <w:sz w:val="24"/>
          <w:szCs w:val="24"/>
        </w:rPr>
        <w:t xml:space="preserve"> и получения Изделий по месту жительства Получателя либо </w:t>
      </w:r>
      <w:r w:rsidR="00B96965" w:rsidRPr="004446BA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по месту изготовления Изделий.</w:t>
      </w:r>
    </w:p>
    <w:p w:rsidR="00B96965" w:rsidRPr="004446BA" w:rsidRDefault="00B96965" w:rsidP="00AA29D9">
      <w:pPr>
        <w:pStyle w:val="ConsNormal0"/>
        <w:widowControl/>
        <w:tabs>
          <w:tab w:val="left" w:pos="709"/>
          <w:tab w:val="left" w:pos="10206"/>
        </w:tabs>
        <w:ind w:right="283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00C46" w:rsidRPr="004446BA" w:rsidRDefault="00900C46" w:rsidP="00802841">
      <w:pPr>
        <w:pStyle w:val="ConsNormal0"/>
        <w:widowControl/>
        <w:tabs>
          <w:tab w:val="left" w:pos="709"/>
          <w:tab w:val="left" w:pos="10206"/>
        </w:tabs>
        <w:spacing w:line="276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6BA">
        <w:rPr>
          <w:rFonts w:ascii="Times New Roman" w:hAnsi="Times New Roman" w:cs="Times New Roman"/>
          <w:b/>
          <w:iCs/>
          <w:sz w:val="24"/>
          <w:szCs w:val="24"/>
        </w:rPr>
        <w:lastRenderedPageBreak/>
        <w:t>Срок выполнения работ (срок изготовления)</w:t>
      </w:r>
      <w:r w:rsidRPr="004446B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4446BA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335150">
        <w:rPr>
          <w:rFonts w:ascii="Times New Roman" w:hAnsi="Times New Roman" w:cs="Times New Roman"/>
          <w:bCs/>
          <w:sz w:val="24"/>
          <w:szCs w:val="24"/>
        </w:rPr>
        <w:t>3</w:t>
      </w:r>
      <w:r w:rsidRPr="004446BA">
        <w:rPr>
          <w:rFonts w:ascii="Times New Roman" w:hAnsi="Times New Roman" w:cs="Times New Roman"/>
          <w:bCs/>
          <w:sz w:val="24"/>
          <w:szCs w:val="24"/>
        </w:rPr>
        <w:t>0 (</w:t>
      </w:r>
      <w:r w:rsidR="00335150">
        <w:rPr>
          <w:rFonts w:ascii="Times New Roman" w:hAnsi="Times New Roman" w:cs="Times New Roman"/>
          <w:bCs/>
          <w:sz w:val="24"/>
          <w:szCs w:val="24"/>
        </w:rPr>
        <w:t>тридцати</w:t>
      </w:r>
      <w:r w:rsidRPr="004446BA">
        <w:rPr>
          <w:rFonts w:ascii="Times New Roman" w:hAnsi="Times New Roman" w:cs="Times New Roman"/>
          <w:bCs/>
          <w:sz w:val="24"/>
          <w:szCs w:val="24"/>
        </w:rPr>
        <w:t>) календарных дней с момента получения Подрядчиком Направления.</w:t>
      </w:r>
    </w:p>
    <w:p w:rsidR="00900C46" w:rsidRDefault="00900C46" w:rsidP="00802841">
      <w:pPr>
        <w:pStyle w:val="ConsNormal0"/>
        <w:widowControl/>
        <w:tabs>
          <w:tab w:val="left" w:pos="809"/>
          <w:tab w:val="left" w:pos="1418"/>
          <w:tab w:val="left" w:pos="10065"/>
          <w:tab w:val="left" w:pos="10348"/>
          <w:tab w:val="left" w:pos="10490"/>
        </w:tabs>
        <w:spacing w:line="276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BA">
        <w:rPr>
          <w:rFonts w:ascii="Times New Roman" w:hAnsi="Times New Roman" w:cs="Times New Roman"/>
          <w:b/>
          <w:sz w:val="24"/>
          <w:szCs w:val="24"/>
        </w:rPr>
        <w:t xml:space="preserve">Период выполнения работ: </w:t>
      </w:r>
      <w:r w:rsidR="00237CCF" w:rsidRPr="00237CCF">
        <w:rPr>
          <w:rFonts w:ascii="Times New Roman" w:hAnsi="Times New Roman" w:cs="Times New Roman"/>
          <w:sz w:val="24"/>
          <w:szCs w:val="24"/>
        </w:rPr>
        <w:t>с момента заключения контракта</w:t>
      </w:r>
      <w:r w:rsidR="00237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6BA">
        <w:rPr>
          <w:rFonts w:ascii="Times New Roman" w:hAnsi="Times New Roman" w:cs="Times New Roman"/>
          <w:sz w:val="24"/>
          <w:szCs w:val="24"/>
        </w:rPr>
        <w:t xml:space="preserve">по </w:t>
      </w:r>
      <w:r w:rsidR="00222237">
        <w:rPr>
          <w:rFonts w:ascii="Times New Roman" w:hAnsi="Times New Roman" w:cs="Times New Roman"/>
          <w:sz w:val="24"/>
          <w:szCs w:val="24"/>
        </w:rPr>
        <w:t>«08</w:t>
      </w:r>
      <w:r w:rsidR="00A3477F">
        <w:rPr>
          <w:rFonts w:ascii="Times New Roman" w:hAnsi="Times New Roman" w:cs="Times New Roman"/>
          <w:sz w:val="24"/>
          <w:szCs w:val="24"/>
        </w:rPr>
        <w:t>» декабря 202</w:t>
      </w:r>
      <w:r w:rsidR="007D3960">
        <w:rPr>
          <w:rFonts w:ascii="Times New Roman" w:hAnsi="Times New Roman" w:cs="Times New Roman"/>
          <w:sz w:val="24"/>
          <w:szCs w:val="24"/>
        </w:rPr>
        <w:t>3</w:t>
      </w:r>
      <w:r w:rsidR="00A347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3960" w:rsidRDefault="007D3960" w:rsidP="00AA29D9">
      <w:pPr>
        <w:pStyle w:val="ConsNormal0"/>
        <w:widowControl/>
        <w:tabs>
          <w:tab w:val="left" w:pos="709"/>
          <w:tab w:val="left" w:pos="10206"/>
        </w:tabs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ED6" w:rsidRDefault="00335150" w:rsidP="00AA29D9">
      <w:pPr>
        <w:pStyle w:val="ConsNormal0"/>
        <w:widowControl/>
        <w:tabs>
          <w:tab w:val="left" w:pos="709"/>
          <w:tab w:val="left" w:pos="10206"/>
        </w:tabs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6BA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</w:p>
    <w:p w:rsidR="00335150" w:rsidRDefault="00335150" w:rsidP="00AA29D9">
      <w:pPr>
        <w:keepNext/>
        <w:keepLines/>
        <w:tabs>
          <w:tab w:val="left" w:pos="4995"/>
        </w:tabs>
        <w:snapToGrid w:val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BA">
        <w:rPr>
          <w:rFonts w:ascii="Times New Roman" w:hAnsi="Times New Roman" w:cs="Times New Roman"/>
          <w:sz w:val="24"/>
          <w:szCs w:val="24"/>
        </w:rPr>
        <w:t xml:space="preserve">Протезы должны соответствовать требованиям Государственного стандарта Российской Федерации  ГОСТ </w:t>
      </w:r>
      <w:proofErr w:type="gramStart"/>
      <w:r w:rsidRPr="004446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46BA">
        <w:rPr>
          <w:rFonts w:ascii="Times New Roman" w:hAnsi="Times New Roman" w:cs="Times New Roman"/>
          <w:sz w:val="24"/>
          <w:szCs w:val="24"/>
        </w:rPr>
        <w:t xml:space="preserve"> ИСО 22523-2007 «Протезы конечностей и </w:t>
      </w:r>
      <w:proofErr w:type="spellStart"/>
      <w:r w:rsidRPr="004446BA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4446BA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испытаний», ГОСТ </w:t>
      </w:r>
      <w:proofErr w:type="gramStart"/>
      <w:r w:rsidRPr="004446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46BA">
        <w:rPr>
          <w:rFonts w:ascii="Times New Roman" w:hAnsi="Times New Roman" w:cs="Times New Roman"/>
          <w:sz w:val="24"/>
          <w:szCs w:val="24"/>
        </w:rPr>
        <w:t xml:space="preserve"> 53869-2021 «Протезы нижних конечностей. Технические требования»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C46" w:rsidRPr="004446BA" w:rsidRDefault="00900C46" w:rsidP="00AA29D9">
      <w:pPr>
        <w:pStyle w:val="ConsNormal0"/>
        <w:widowControl/>
        <w:tabs>
          <w:tab w:val="left" w:pos="709"/>
          <w:tab w:val="left" w:pos="10206"/>
        </w:tabs>
        <w:ind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6BA">
        <w:rPr>
          <w:rFonts w:ascii="Times New Roman" w:hAnsi="Times New Roman" w:cs="Times New Roman"/>
          <w:b/>
          <w:bCs/>
          <w:sz w:val="24"/>
          <w:szCs w:val="24"/>
        </w:rPr>
        <w:t>Требования к техническим и функциональным характеристикам</w:t>
      </w:r>
    </w:p>
    <w:p w:rsidR="00B96965" w:rsidRPr="004446BA" w:rsidRDefault="00B96965" w:rsidP="00AA29D9">
      <w:pPr>
        <w:pStyle w:val="ConsNormal0"/>
        <w:widowControl/>
        <w:tabs>
          <w:tab w:val="left" w:pos="709"/>
          <w:tab w:val="left" w:pos="10206"/>
        </w:tabs>
        <w:spacing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BA">
        <w:rPr>
          <w:rFonts w:ascii="Times New Roman" w:hAnsi="Times New Roman" w:cs="Times New Roman"/>
          <w:sz w:val="24"/>
          <w:szCs w:val="24"/>
        </w:rPr>
        <w:t xml:space="preserve">Выполнение работ должно соответствовать назначениям </w:t>
      </w:r>
      <w:proofErr w:type="gramStart"/>
      <w:r w:rsidRPr="004446B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4446BA">
        <w:rPr>
          <w:rFonts w:ascii="Times New Roman" w:hAnsi="Times New Roman" w:cs="Times New Roman"/>
          <w:sz w:val="24"/>
          <w:szCs w:val="24"/>
        </w:rPr>
        <w:t xml:space="preserve"> экспертизы, а также врача. Протезы должны изготавливаться с учетом анатомических дефектов </w:t>
      </w:r>
      <w:r w:rsidR="00237CCF">
        <w:rPr>
          <w:rFonts w:ascii="Times New Roman" w:hAnsi="Times New Roman" w:cs="Times New Roman"/>
          <w:sz w:val="24"/>
          <w:szCs w:val="24"/>
        </w:rPr>
        <w:t>нижних</w:t>
      </w:r>
      <w:r w:rsidRPr="004446BA">
        <w:rPr>
          <w:rFonts w:ascii="Times New Roman" w:hAnsi="Times New Roman" w:cs="Times New Roman"/>
          <w:sz w:val="24"/>
          <w:szCs w:val="24"/>
        </w:rPr>
        <w:t xml:space="preserve">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4446BA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4446BA">
        <w:rPr>
          <w:rFonts w:ascii="Times New Roman" w:hAnsi="Times New Roman" w:cs="Times New Roman"/>
          <w:sz w:val="24"/>
          <w:szCs w:val="24"/>
        </w:rPr>
        <w:t xml:space="preserve"> аспекты. </w:t>
      </w:r>
    </w:p>
    <w:p w:rsidR="00900C46" w:rsidRPr="004446BA" w:rsidRDefault="00900C46" w:rsidP="002B2351">
      <w:pPr>
        <w:keepNext/>
        <w:keepLines/>
        <w:spacing w:after="0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BA">
        <w:rPr>
          <w:rFonts w:ascii="Times New Roman" w:hAnsi="Times New Roman" w:cs="Times New Roman"/>
          <w:sz w:val="24"/>
          <w:szCs w:val="24"/>
        </w:rPr>
        <w:t>При выполнении указанной работы должен быть осуществлен контроль по примерке и обеспечению застрахованного лица указанным средством реабилитации. Застрахованное лицо не должен испытывать болей, избыточного давления, обуславливающих нарушение кровообращения.</w:t>
      </w:r>
    </w:p>
    <w:p w:rsidR="00900C46" w:rsidRPr="004446BA" w:rsidRDefault="00900C46" w:rsidP="002B2351">
      <w:pPr>
        <w:keepNext/>
        <w:keepLines/>
        <w:spacing w:after="0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BA">
        <w:rPr>
          <w:rFonts w:ascii="Times New Roman" w:hAnsi="Times New Roman" w:cs="Times New Roman"/>
          <w:sz w:val="24"/>
          <w:szCs w:val="24"/>
        </w:rPr>
        <w:t>Изделие должно быть изготовлено из материала, разрешенного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4446B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4446BA">
        <w:rPr>
          <w:rFonts w:ascii="Times New Roman" w:hAnsi="Times New Roman" w:cs="Times New Roman"/>
          <w:sz w:val="24"/>
          <w:szCs w:val="24"/>
        </w:rPr>
        <w:t>) и обеспечивающее безопасность и функциональное назначение изделия, не вызывающее аллергических реакций, устойчивых к воздействию растворителей при гигиенической обработке.</w:t>
      </w:r>
    </w:p>
    <w:p w:rsidR="00900C46" w:rsidRDefault="00900C46" w:rsidP="002B2351">
      <w:pPr>
        <w:keepNext/>
        <w:keepLines/>
        <w:spacing w:after="0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BA">
        <w:rPr>
          <w:rFonts w:ascii="Times New Roman" w:hAnsi="Times New Roman" w:cs="Times New Roman"/>
          <w:sz w:val="24"/>
          <w:szCs w:val="24"/>
        </w:rPr>
        <w:t>Изделие должно быть стойкое к воздействию физиологических растворов, не вызывать потертостей, сдавливания, ущемления и наплывов мягких тканей, нарушений кровообращения и болевых ощущений при использовании.</w:t>
      </w:r>
    </w:p>
    <w:p w:rsidR="005E701F" w:rsidRPr="004446BA" w:rsidRDefault="005E701F" w:rsidP="002B2351">
      <w:pPr>
        <w:keepNext/>
        <w:keepLines/>
        <w:spacing w:after="0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C46" w:rsidRPr="006850DF" w:rsidRDefault="00900C46" w:rsidP="002B2351">
      <w:pPr>
        <w:tabs>
          <w:tab w:val="left" w:pos="4995"/>
        </w:tabs>
        <w:snapToGrid w:val="0"/>
        <w:spacing w:after="0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0DF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работ</w:t>
      </w:r>
    </w:p>
    <w:p w:rsidR="00900C46" w:rsidRPr="006850DF" w:rsidRDefault="00900C46" w:rsidP="002B2351">
      <w:pPr>
        <w:pStyle w:val="31"/>
        <w:keepNext/>
        <w:keepLines/>
        <w:widowControl w:val="0"/>
        <w:numPr>
          <w:ilvl w:val="0"/>
          <w:numId w:val="1"/>
        </w:numPr>
        <w:tabs>
          <w:tab w:val="clear" w:pos="0"/>
          <w:tab w:val="num" w:pos="709"/>
        </w:tabs>
        <w:spacing w:line="276" w:lineRule="auto"/>
        <w:ind w:right="284" w:firstLine="708"/>
        <w:contextualSpacing/>
        <w:rPr>
          <w:b/>
          <w:sz w:val="24"/>
          <w:szCs w:val="24"/>
        </w:rPr>
      </w:pPr>
      <w:r w:rsidRPr="006850DF">
        <w:rPr>
          <w:sz w:val="24"/>
          <w:szCs w:val="24"/>
        </w:rPr>
        <w:t xml:space="preserve">Работа по обеспечению протезом будет считаться эффективно исполненной, если у застрахованного лица восстановлена опорная и двигательная функции конечности. Работа по обеспечению протезом должна выполняться с надлежащим качеством и в установленные сроки. </w:t>
      </w:r>
    </w:p>
    <w:p w:rsidR="00E85460" w:rsidRDefault="00E85460" w:rsidP="002B2351">
      <w:pPr>
        <w:pStyle w:val="a5"/>
        <w:widowControl w:val="0"/>
        <w:numPr>
          <w:ilvl w:val="0"/>
          <w:numId w:val="1"/>
        </w:numPr>
        <w:spacing w:line="276" w:lineRule="auto"/>
        <w:ind w:left="720" w:right="284"/>
        <w:jc w:val="center"/>
        <w:rPr>
          <w:b/>
          <w:sz w:val="24"/>
          <w:szCs w:val="24"/>
        </w:rPr>
      </w:pPr>
    </w:p>
    <w:p w:rsidR="00900C46" w:rsidRPr="006850DF" w:rsidRDefault="00900C46" w:rsidP="002B2351">
      <w:pPr>
        <w:pStyle w:val="a5"/>
        <w:widowControl w:val="0"/>
        <w:numPr>
          <w:ilvl w:val="0"/>
          <w:numId w:val="1"/>
        </w:numPr>
        <w:spacing w:line="276" w:lineRule="auto"/>
        <w:ind w:left="720" w:right="284"/>
        <w:jc w:val="center"/>
        <w:rPr>
          <w:b/>
          <w:sz w:val="24"/>
          <w:szCs w:val="24"/>
        </w:rPr>
      </w:pPr>
      <w:r w:rsidRPr="006850DF">
        <w:rPr>
          <w:b/>
          <w:sz w:val="24"/>
          <w:szCs w:val="24"/>
        </w:rPr>
        <w:t>Требования к гарантийному сроку</w:t>
      </w:r>
    </w:p>
    <w:p w:rsidR="00900C46" w:rsidRDefault="00900C46" w:rsidP="002B2351">
      <w:pPr>
        <w:pStyle w:val="a5"/>
        <w:widowControl w:val="0"/>
        <w:numPr>
          <w:ilvl w:val="0"/>
          <w:numId w:val="1"/>
        </w:numPr>
        <w:tabs>
          <w:tab w:val="left" w:pos="0"/>
          <w:tab w:val="left" w:pos="1418"/>
        </w:tabs>
        <w:spacing w:line="276" w:lineRule="auto"/>
        <w:ind w:right="284" w:firstLine="709"/>
        <w:jc w:val="both"/>
        <w:rPr>
          <w:color w:val="000000"/>
          <w:sz w:val="24"/>
          <w:szCs w:val="24"/>
        </w:rPr>
      </w:pPr>
      <w:r w:rsidRPr="006850DF">
        <w:rPr>
          <w:color w:val="000000"/>
          <w:sz w:val="24"/>
          <w:szCs w:val="24"/>
        </w:rPr>
        <w:t xml:space="preserve">Гарантийный срок составляет </w:t>
      </w:r>
      <w:r w:rsidR="00335150">
        <w:rPr>
          <w:color w:val="000000"/>
          <w:sz w:val="24"/>
          <w:szCs w:val="24"/>
        </w:rPr>
        <w:t xml:space="preserve">не менее </w:t>
      </w:r>
      <w:r w:rsidR="00EB05FA">
        <w:rPr>
          <w:color w:val="000000"/>
          <w:sz w:val="24"/>
          <w:szCs w:val="24"/>
        </w:rPr>
        <w:t>12</w:t>
      </w:r>
      <w:r w:rsidRPr="006850DF">
        <w:rPr>
          <w:color w:val="000000"/>
          <w:sz w:val="24"/>
          <w:szCs w:val="24"/>
        </w:rPr>
        <w:t xml:space="preserve"> (</w:t>
      </w:r>
      <w:r w:rsidR="00EB05FA">
        <w:rPr>
          <w:color w:val="000000"/>
          <w:sz w:val="24"/>
          <w:szCs w:val="24"/>
        </w:rPr>
        <w:t>двенадцат</w:t>
      </w:r>
      <w:r w:rsidR="00335150">
        <w:rPr>
          <w:color w:val="000000"/>
          <w:sz w:val="24"/>
          <w:szCs w:val="24"/>
        </w:rPr>
        <w:t>и</w:t>
      </w:r>
      <w:r w:rsidRPr="006850DF">
        <w:rPr>
          <w:color w:val="000000"/>
          <w:sz w:val="24"/>
          <w:szCs w:val="24"/>
        </w:rPr>
        <w:t>) месяц</w:t>
      </w:r>
      <w:r w:rsidR="00EB05FA">
        <w:rPr>
          <w:color w:val="000000"/>
          <w:sz w:val="24"/>
          <w:szCs w:val="24"/>
        </w:rPr>
        <w:t>ев</w:t>
      </w:r>
      <w:r w:rsidRPr="006850DF">
        <w:rPr>
          <w:color w:val="000000"/>
          <w:sz w:val="24"/>
          <w:szCs w:val="24"/>
        </w:rPr>
        <w:t xml:space="preserve"> со дня подписания Акта приема-передачи Изделия.</w:t>
      </w:r>
    </w:p>
    <w:p w:rsidR="007D3960" w:rsidRDefault="007D3960" w:rsidP="007D3960">
      <w:pPr>
        <w:widowControl w:val="0"/>
        <w:tabs>
          <w:tab w:val="left" w:pos="0"/>
          <w:tab w:val="left" w:pos="1418"/>
        </w:tabs>
        <w:ind w:right="284"/>
        <w:jc w:val="both"/>
        <w:rPr>
          <w:color w:val="000000"/>
          <w:sz w:val="24"/>
          <w:szCs w:val="24"/>
        </w:rPr>
      </w:pPr>
    </w:p>
    <w:p w:rsidR="007D3960" w:rsidRDefault="007D3960" w:rsidP="007D3960">
      <w:pPr>
        <w:widowControl w:val="0"/>
        <w:tabs>
          <w:tab w:val="left" w:pos="0"/>
          <w:tab w:val="left" w:pos="1418"/>
        </w:tabs>
        <w:ind w:right="284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7D3960" w:rsidSect="00993F14">
      <w:headerReference w:type="default" r:id="rId9"/>
      <w:pgSz w:w="11906" w:h="16838"/>
      <w:pgMar w:top="567" w:right="42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9F" w:rsidRDefault="00634A9F" w:rsidP="00993F14">
      <w:pPr>
        <w:spacing w:after="0" w:line="240" w:lineRule="auto"/>
      </w:pPr>
      <w:r>
        <w:separator/>
      </w:r>
    </w:p>
  </w:endnote>
  <w:endnote w:type="continuationSeparator" w:id="0">
    <w:p w:rsidR="00634A9F" w:rsidRDefault="00634A9F" w:rsidP="0099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9F" w:rsidRDefault="00634A9F" w:rsidP="00993F14">
      <w:pPr>
        <w:spacing w:after="0" w:line="240" w:lineRule="auto"/>
      </w:pPr>
      <w:r>
        <w:separator/>
      </w:r>
    </w:p>
  </w:footnote>
  <w:footnote w:type="continuationSeparator" w:id="0">
    <w:p w:rsidR="00634A9F" w:rsidRDefault="00634A9F" w:rsidP="0099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250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3"/>
        <w:szCs w:val="23"/>
      </w:rPr>
    </w:sdtEndPr>
    <w:sdtContent>
      <w:p w:rsidR="00C03D2F" w:rsidRPr="00B94B3A" w:rsidRDefault="00C03D2F">
        <w:pPr>
          <w:pStyle w:val="a6"/>
          <w:jc w:val="center"/>
          <w:rPr>
            <w:rFonts w:ascii="Times New Roman" w:hAnsi="Times New Roman" w:cs="Times New Roman"/>
            <w:sz w:val="23"/>
            <w:szCs w:val="23"/>
          </w:rPr>
        </w:pPr>
        <w:r w:rsidRPr="00B94B3A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B94B3A">
          <w:rPr>
            <w:rFonts w:ascii="Times New Roman" w:hAnsi="Times New Roman" w:cs="Times New Roman"/>
            <w:sz w:val="23"/>
            <w:szCs w:val="23"/>
          </w:rPr>
          <w:instrText>PAGE   \* MERGEFORMAT</w:instrText>
        </w:r>
        <w:r w:rsidRPr="00B94B3A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FE2244">
          <w:rPr>
            <w:rFonts w:ascii="Times New Roman" w:hAnsi="Times New Roman" w:cs="Times New Roman"/>
            <w:noProof/>
            <w:sz w:val="23"/>
            <w:szCs w:val="23"/>
          </w:rPr>
          <w:t>6</w:t>
        </w:r>
        <w:r w:rsidRPr="00B94B3A">
          <w:rPr>
            <w:rFonts w:ascii="Times New Roman" w:hAnsi="Times New Roman" w:cs="Times New Roman"/>
            <w:sz w:val="23"/>
            <w:szCs w:val="23"/>
          </w:rPr>
          <w:fldChar w:fldCharType="end"/>
        </w:r>
      </w:p>
    </w:sdtContent>
  </w:sdt>
  <w:p w:rsidR="00C03D2F" w:rsidRDefault="00C03D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09"/>
    <w:rsid w:val="0000206B"/>
    <w:rsid w:val="00015C5A"/>
    <w:rsid w:val="00033E3F"/>
    <w:rsid w:val="0004131D"/>
    <w:rsid w:val="0005243B"/>
    <w:rsid w:val="000B567C"/>
    <w:rsid w:val="000C4857"/>
    <w:rsid w:val="00136152"/>
    <w:rsid w:val="00194796"/>
    <w:rsid w:val="00222237"/>
    <w:rsid w:val="00237CCF"/>
    <w:rsid w:val="00294C66"/>
    <w:rsid w:val="002B2351"/>
    <w:rsid w:val="002C1E3F"/>
    <w:rsid w:val="002C334D"/>
    <w:rsid w:val="002D3F3D"/>
    <w:rsid w:val="00335150"/>
    <w:rsid w:val="00390C60"/>
    <w:rsid w:val="003A0BC3"/>
    <w:rsid w:val="003C7409"/>
    <w:rsid w:val="0043149D"/>
    <w:rsid w:val="00437D06"/>
    <w:rsid w:val="004446BA"/>
    <w:rsid w:val="004569D3"/>
    <w:rsid w:val="00485618"/>
    <w:rsid w:val="004E04FC"/>
    <w:rsid w:val="004E636C"/>
    <w:rsid w:val="004F527F"/>
    <w:rsid w:val="00500E28"/>
    <w:rsid w:val="005325B7"/>
    <w:rsid w:val="005D2A6A"/>
    <w:rsid w:val="005E701F"/>
    <w:rsid w:val="00634A9F"/>
    <w:rsid w:val="0065138F"/>
    <w:rsid w:val="006619AE"/>
    <w:rsid w:val="006850DF"/>
    <w:rsid w:val="006C3F71"/>
    <w:rsid w:val="00761DBC"/>
    <w:rsid w:val="00793CC9"/>
    <w:rsid w:val="007D3960"/>
    <w:rsid w:val="007E3727"/>
    <w:rsid w:val="007F5E16"/>
    <w:rsid w:val="00802841"/>
    <w:rsid w:val="00833B67"/>
    <w:rsid w:val="0084326D"/>
    <w:rsid w:val="00851C30"/>
    <w:rsid w:val="00880FC9"/>
    <w:rsid w:val="008D2E4D"/>
    <w:rsid w:val="00900C46"/>
    <w:rsid w:val="00905714"/>
    <w:rsid w:val="00941881"/>
    <w:rsid w:val="0095434B"/>
    <w:rsid w:val="00993F14"/>
    <w:rsid w:val="00A15B3B"/>
    <w:rsid w:val="00A3477F"/>
    <w:rsid w:val="00A85F38"/>
    <w:rsid w:val="00A95A09"/>
    <w:rsid w:val="00AA29D9"/>
    <w:rsid w:val="00AD165A"/>
    <w:rsid w:val="00AE63F8"/>
    <w:rsid w:val="00AE7962"/>
    <w:rsid w:val="00B05EBD"/>
    <w:rsid w:val="00B31C64"/>
    <w:rsid w:val="00B379F2"/>
    <w:rsid w:val="00B94B3A"/>
    <w:rsid w:val="00B96965"/>
    <w:rsid w:val="00BD1B34"/>
    <w:rsid w:val="00BF461B"/>
    <w:rsid w:val="00C03AFB"/>
    <w:rsid w:val="00C03D2F"/>
    <w:rsid w:val="00C157ED"/>
    <w:rsid w:val="00C43A36"/>
    <w:rsid w:val="00C55F02"/>
    <w:rsid w:val="00C61418"/>
    <w:rsid w:val="00CB520B"/>
    <w:rsid w:val="00CC736B"/>
    <w:rsid w:val="00D40516"/>
    <w:rsid w:val="00DB0F49"/>
    <w:rsid w:val="00DB61EB"/>
    <w:rsid w:val="00DD4ED6"/>
    <w:rsid w:val="00E02E81"/>
    <w:rsid w:val="00E13F93"/>
    <w:rsid w:val="00E85460"/>
    <w:rsid w:val="00EB05FA"/>
    <w:rsid w:val="00ED213E"/>
    <w:rsid w:val="00F36F06"/>
    <w:rsid w:val="00F553B2"/>
    <w:rsid w:val="00F655E8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93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900C46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qFormat/>
    <w:rsid w:val="00900C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900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00C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99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F14"/>
  </w:style>
  <w:style w:type="paragraph" w:styleId="a8">
    <w:name w:val="footer"/>
    <w:basedOn w:val="a"/>
    <w:link w:val="a9"/>
    <w:uiPriority w:val="99"/>
    <w:unhideWhenUsed/>
    <w:rsid w:val="0099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F14"/>
  </w:style>
  <w:style w:type="paragraph" w:styleId="3">
    <w:name w:val="Body Text Indent 3"/>
    <w:basedOn w:val="a"/>
    <w:link w:val="30"/>
    <w:semiHidden/>
    <w:rsid w:val="00C03D2F"/>
    <w:pPr>
      <w:keepNext/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4"/>
      <w:sz w:val="26"/>
      <w:szCs w:val="2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C03D2F"/>
    <w:rPr>
      <w:rFonts w:ascii="Times New Roman" w:eastAsia="Times New Roman" w:hAnsi="Times New Roman" w:cs="Times New Roman"/>
      <w:spacing w:val="-4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93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900C46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qFormat/>
    <w:rsid w:val="00900C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uiPriority w:val="34"/>
    <w:qFormat/>
    <w:rsid w:val="00900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00C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99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F14"/>
  </w:style>
  <w:style w:type="paragraph" w:styleId="a8">
    <w:name w:val="footer"/>
    <w:basedOn w:val="a"/>
    <w:link w:val="a9"/>
    <w:uiPriority w:val="99"/>
    <w:unhideWhenUsed/>
    <w:rsid w:val="0099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F14"/>
  </w:style>
  <w:style w:type="paragraph" w:styleId="3">
    <w:name w:val="Body Text Indent 3"/>
    <w:basedOn w:val="a"/>
    <w:link w:val="30"/>
    <w:semiHidden/>
    <w:rsid w:val="00C03D2F"/>
    <w:pPr>
      <w:keepNext/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4"/>
      <w:sz w:val="26"/>
      <w:szCs w:val="2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C03D2F"/>
    <w:rPr>
      <w:rFonts w:ascii="Times New Roman" w:eastAsia="Times New Roman" w:hAnsi="Times New Roman" w:cs="Times New Roman"/>
      <w:spacing w:val="-4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FB7E-08AF-4CD6-9307-F4950672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Елена Николаевна</dc:creator>
  <cp:lastModifiedBy>Гуляева</cp:lastModifiedBy>
  <cp:revision>4</cp:revision>
  <cp:lastPrinted>2022-09-19T12:39:00Z</cp:lastPrinted>
  <dcterms:created xsi:type="dcterms:W3CDTF">2022-09-19T12:43:00Z</dcterms:created>
  <dcterms:modified xsi:type="dcterms:W3CDTF">2022-09-19T13:40:00Z</dcterms:modified>
</cp:coreProperties>
</file>