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9052" w14:textId="2E2B8457" w:rsidR="00B909F6" w:rsidRDefault="00B909F6" w:rsidP="00B909F6">
      <w:pPr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Приложение 1</w:t>
      </w:r>
      <w:r w:rsidRPr="0007759E">
        <w:rPr>
          <w:rFonts w:ascii="Times New Roman" w:eastAsia="Calibri" w:hAnsi="Times New Roman"/>
          <w:sz w:val="26"/>
          <w:szCs w:val="26"/>
        </w:rPr>
        <w:t xml:space="preserve"> к Извещению об осуществлении закупки</w:t>
      </w:r>
    </w:p>
    <w:p w14:paraId="7A9097EA" w14:textId="77777777" w:rsidR="00B909F6" w:rsidRDefault="00B909F6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A2CAA0" w14:textId="77777777" w:rsidR="00846B91" w:rsidRDefault="00846B91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B91">
        <w:rPr>
          <w:rFonts w:ascii="Times New Roman" w:hAnsi="Times New Roman" w:cs="Times New Roman"/>
          <w:b/>
          <w:sz w:val="24"/>
        </w:rPr>
        <w:t>Описание объекта закупки</w:t>
      </w:r>
    </w:p>
    <w:p w14:paraId="48444D1E" w14:textId="77777777" w:rsidR="00FC059F" w:rsidRDefault="00FC059F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F4F4E70" w14:textId="36EBEE8C" w:rsidR="00FC059F" w:rsidRDefault="00FC059F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1522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17"/>
        <w:gridCol w:w="3260"/>
        <w:gridCol w:w="9214"/>
        <w:gridCol w:w="709"/>
      </w:tblGrid>
      <w:tr w:rsidR="00A65F62" w:rsidRPr="00A65F62" w14:paraId="60271529" w14:textId="77777777" w:rsidTr="00CA58E3">
        <w:trPr>
          <w:trHeight w:val="40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F657" w14:textId="77777777" w:rsidR="00A65F62" w:rsidRPr="00A65F62" w:rsidRDefault="00A65F62" w:rsidP="00A65F6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A65F62">
              <w:rPr>
                <w:rFonts w:ascii="Times New Roman" w:hAnsi="Times New Roman" w:cs="Times New Roman"/>
                <w:bCs/>
                <w:lang w:eastAsia="zh-CN"/>
              </w:rPr>
              <w:t>№ п/п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6DF3" w14:textId="77777777" w:rsidR="00A65F62" w:rsidRPr="00A65F62" w:rsidRDefault="00A65F62" w:rsidP="00A65F6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A65F62">
              <w:rPr>
                <w:rFonts w:ascii="Times New Roman" w:hAnsi="Times New Roman" w:cs="Times New Roman"/>
                <w:bCs/>
                <w:lang w:eastAsia="zh-CN"/>
              </w:rPr>
              <w:t>Наименование товара (работы, услуги)</w:t>
            </w:r>
            <w:r w:rsidRPr="00A65F62">
              <w:rPr>
                <w:rFonts w:ascii="Times New Roman" w:hAnsi="Times New Roman" w:cs="Times New Roman"/>
                <w:bCs/>
                <w:vertAlign w:val="superscript"/>
                <w:lang w:eastAsia="zh-CN"/>
              </w:rPr>
              <w:footnoteReference w:id="1"/>
            </w:r>
          </w:p>
        </w:tc>
        <w:tc>
          <w:tcPr>
            <w:tcW w:w="12474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047F757" w14:textId="77777777" w:rsidR="00A65F62" w:rsidRPr="00A65F62" w:rsidRDefault="00A65F62" w:rsidP="00A65F62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lang w:eastAsia="zh-CN"/>
              </w:rPr>
            </w:pPr>
            <w:r w:rsidRPr="00A65F62">
              <w:rPr>
                <w:rFonts w:ascii="Times New Roman" w:hAnsi="Times New Roman" w:cs="Times New Roman"/>
                <w:bCs/>
                <w:i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A65F62">
              <w:rPr>
                <w:rFonts w:ascii="Times New Roman" w:hAnsi="Times New Roman" w:cs="Times New Roman"/>
                <w:bCs/>
                <w:i/>
                <w:vertAlign w:val="superscript"/>
              </w:rPr>
              <w:footnoteReference w:id="2"/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AC4F" w14:textId="77777777" w:rsidR="00A65F62" w:rsidRPr="00A65F62" w:rsidRDefault="00A65F62" w:rsidP="00A65F62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lang w:eastAsia="zh-CN"/>
              </w:rPr>
            </w:pPr>
            <w:r w:rsidRPr="00A65F62">
              <w:rPr>
                <w:rFonts w:ascii="Times New Roman" w:eastAsia="Andale Sans UI" w:hAnsi="Times New Roman" w:cs="Times New Roman"/>
                <w:lang w:eastAsia="zh-CN"/>
              </w:rPr>
              <w:t>Кол-во, (шт.)</w:t>
            </w:r>
          </w:p>
        </w:tc>
      </w:tr>
      <w:tr w:rsidR="00A65F62" w:rsidRPr="00A65F62" w14:paraId="0F3E2F36" w14:textId="77777777" w:rsidTr="00CA58E3">
        <w:trPr>
          <w:trHeight w:val="213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A427" w14:textId="77777777" w:rsidR="00A65F62" w:rsidRPr="00A65F62" w:rsidRDefault="00A65F62" w:rsidP="00A65F6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A65F62">
              <w:rPr>
                <w:rFonts w:ascii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5957" w14:textId="77777777" w:rsidR="00A65F62" w:rsidRPr="00A65F62" w:rsidRDefault="00A65F62" w:rsidP="00A65F6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A65F62">
              <w:rPr>
                <w:rFonts w:ascii="Times New Roman" w:hAnsi="Times New Roman" w:cs="Times New Roman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  <w:r w:rsidRPr="00A65F62">
              <w:rPr>
                <w:rFonts w:ascii="Times New Roma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A792B07" w14:textId="77777777" w:rsidR="00A65F62" w:rsidRPr="00A65F62" w:rsidRDefault="00A65F62" w:rsidP="00A65F62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A65F62">
              <w:rPr>
                <w:rFonts w:ascii="Times New Roman" w:eastAsia="Times New Roman" w:hAnsi="Times New Roman" w:cs="Times New Roman"/>
              </w:rPr>
              <w:t xml:space="preserve">1.Наименование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</w:t>
            </w:r>
            <w:r w:rsidRPr="00A65F62">
              <w:rPr>
                <w:rFonts w:ascii="Times New Roman" w:eastAsia="Lucida Sans Unicode" w:hAnsi="Times New Roman" w:cs="Times New Roman"/>
              </w:rPr>
              <w:t>8-07-10 Протез бедра модульный, в том числе при врожденном недоразвитии;</w:t>
            </w:r>
          </w:p>
          <w:p w14:paraId="1574B63D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  <w:bCs/>
                <w:lang w:eastAsia="zh-CN"/>
              </w:rPr>
              <w:t xml:space="preserve">2. Описание: </w:t>
            </w:r>
            <w:r w:rsidRPr="00A65F62">
              <w:rPr>
                <w:rFonts w:ascii="Times New Roman" w:hAnsi="Times New Roman" w:cs="Times New Roman"/>
              </w:rPr>
              <w:t xml:space="preserve">Формообразующая часть косметической облицовки - модульная мягкая полиуретановая или листовой поролон. </w:t>
            </w:r>
          </w:p>
          <w:p w14:paraId="397FFE07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Косметическое покрытие облицовки - чулки ортопедические перлоновые или силоновые, допускается покрытие защитное плёночное.</w:t>
            </w:r>
          </w:p>
          <w:p w14:paraId="7E413166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 xml:space="preserve">Приемная гильза: индивидуальная (две пробные гильзы). </w:t>
            </w:r>
          </w:p>
          <w:p w14:paraId="2611149C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В качестве вкладного элемента применяются чехлы полимерные, крепление с использованием замка.</w:t>
            </w:r>
          </w:p>
          <w:p w14:paraId="78507691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 xml:space="preserve">Регулировочно-соединительные устройства должны соответствовать весу инвалида. </w:t>
            </w:r>
          </w:p>
          <w:p w14:paraId="41E186F8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Стопа с высоким уровнем энергосбережения каркасного типа с раздвоенным карбоновым килем переднего отдела стопы для обеспечения высокого уровня инверсии/</w:t>
            </w:r>
            <w:proofErr w:type="spellStart"/>
            <w:r w:rsidRPr="00A65F62">
              <w:rPr>
                <w:rFonts w:ascii="Times New Roman" w:hAnsi="Times New Roman" w:cs="Times New Roman"/>
              </w:rPr>
              <w:t>эверсии</w:t>
            </w:r>
            <w:proofErr w:type="spellEnd"/>
            <w:r w:rsidRPr="00A65F62">
              <w:rPr>
                <w:rFonts w:ascii="Times New Roman" w:hAnsi="Times New Roman" w:cs="Times New Roman"/>
              </w:rPr>
              <w:t xml:space="preserve"> и карбоновой пяткой. </w:t>
            </w:r>
          </w:p>
          <w:p w14:paraId="0403C053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Коленный модуль с гидравлической регулировкой фазы опоры и фазы переноса, с гидроцилиндром, обеспечивающим регулировку устойчивости и возможность фиксации колена на сгибание, при длительном стоянии и приседании, позволяет ходьбу вниз по лестнице попеременным шагом.</w:t>
            </w:r>
          </w:p>
          <w:p w14:paraId="1EF5D6AB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Угол сгибания 160 градусов.</w:t>
            </w:r>
          </w:p>
          <w:p w14:paraId="58391F88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Нагрузка до 150 кг.</w:t>
            </w:r>
          </w:p>
          <w:p w14:paraId="227B9434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5F62">
              <w:rPr>
                <w:rFonts w:ascii="Times New Roman" w:hAnsi="Times New Roman" w:cs="Times New Roman"/>
              </w:rPr>
              <w:t>Модуль снабжен велосипедным переключателем.</w:t>
            </w:r>
          </w:p>
          <w:p w14:paraId="79F142AA" w14:textId="77777777" w:rsidR="00A65F62" w:rsidRPr="00A65F62" w:rsidRDefault="00A65F62" w:rsidP="00A65F62">
            <w:pPr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A65F62">
              <w:rPr>
                <w:rFonts w:ascii="Times New Roman" w:hAnsi="Times New Roman" w:cs="Times New Roman"/>
              </w:rPr>
              <w:t>Тип протеза: постоянный.</w:t>
            </w:r>
          </w:p>
        </w:tc>
        <w:tc>
          <w:tcPr>
            <w:tcW w:w="9214" w:type="dxa"/>
            <w:tcBorders>
              <w:left w:val="single" w:sz="1" w:space="0" w:color="000000"/>
              <w:right w:val="single" w:sz="1" w:space="0" w:color="000000"/>
            </w:tcBorders>
          </w:tcPr>
          <w:p w14:paraId="3797614E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65F62">
              <w:rPr>
                <w:rFonts w:ascii="Times New Roman" w:eastAsia="Arial" w:hAnsi="Times New Roman" w:cs="Times New Roman"/>
                <w:b/>
              </w:rPr>
              <w:t>Требования к техническим и функциональным характеристикам работ</w:t>
            </w:r>
          </w:p>
          <w:p w14:paraId="457CB664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В соответствии п. 1,2 ГОСТ Р 51819-2017 выполняемые работы по обеспечению инвалидов и отдельных категорий граждан из числа ветеранов протезами бедра должны 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пациентов с помощью протезов конечностей, в целях восстановления или компенсации ограничений их жизнедеятельности.</w:t>
            </w:r>
          </w:p>
          <w:p w14:paraId="5C6DF7FD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В соответствии п. 41 ГОСТ Р 51819-2017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  </w:t>
            </w:r>
          </w:p>
          <w:p w14:paraId="01CF80B4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В соответствии п. </w:t>
            </w:r>
            <w:proofErr w:type="gramStart"/>
            <w:r w:rsidRPr="00A65F62">
              <w:rPr>
                <w:rFonts w:ascii="Times New Roman" w:eastAsia="Arial" w:hAnsi="Times New Roman" w:cs="Times New Roman"/>
              </w:rPr>
              <w:t>44  ГОСТ</w:t>
            </w:r>
            <w:proofErr w:type="gramEnd"/>
            <w:r w:rsidRPr="00A65F62">
              <w:rPr>
                <w:rFonts w:ascii="Times New Roman" w:eastAsia="Arial" w:hAnsi="Times New Roman" w:cs="Times New Roman"/>
              </w:rPr>
              <w:t xml:space="preserve"> Р 51819-2017 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14:paraId="10891A10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В соответствии с п.5.2.1 ГОСТ Р 53870-2021 работы должны включать в себя: </w:t>
            </w:r>
          </w:p>
          <w:p w14:paraId="76B992C8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оформление карты протезирования, заказа;</w:t>
            </w:r>
          </w:p>
          <w:p w14:paraId="4840F1A0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изготовление изделия для примерки;</w:t>
            </w:r>
          </w:p>
          <w:p w14:paraId="7E826169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примерку приемной гильзы;</w:t>
            </w:r>
          </w:p>
          <w:p w14:paraId="6ADFF4A0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предварительную сборку протеза;</w:t>
            </w:r>
          </w:p>
          <w:p w14:paraId="2CB88527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примерку, установку, подгонку узлов, креплений;</w:t>
            </w:r>
          </w:p>
          <w:p w14:paraId="3DD8F9B7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окончательную сборку и отделку протеза;</w:t>
            </w:r>
          </w:p>
          <w:p w14:paraId="47F0C56F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- обучение пользованию протезом, уходу за изделием и культей (недоразвитой конечностью) и выдачу готового изделия. </w:t>
            </w:r>
          </w:p>
          <w:p w14:paraId="7AD31900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65F62">
              <w:rPr>
                <w:rFonts w:ascii="Times New Roman" w:eastAsia="Arial" w:hAnsi="Times New Roman" w:cs="Times New Roman"/>
                <w:b/>
              </w:rPr>
              <w:t>Требования к материалам</w:t>
            </w:r>
          </w:p>
          <w:p w14:paraId="0F730180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В соответствии с разделом 9 ГОСТ Р 53869-2021 «Протезы нижних конечностей. Технические требования»: </w:t>
            </w:r>
          </w:p>
          <w:p w14:paraId="4A0D3F93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Материалы, применяемые при изготовлении протеза, должны соответствовать требованиям ГОСТ Р ИСО 22523, пункт 5.1.</w:t>
            </w:r>
          </w:p>
          <w:p w14:paraId="794CCD74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Материалы, из которых изготовлены приемные гильзы протезов и/или вкладные элементы, имеющие прямой и/или опосредованный контакт с кожей пользователя, должны удовлетворять требованиям биологической безопасности ГОСТ Р 52770, ГОСТ ISO 10993-1, ГОСТ ISO 10993-5, ГОСТ ISO 10993-10, ГОСТ ISO 10993-12 в части предъявляемых требований и характеристик.</w:t>
            </w:r>
          </w:p>
          <w:p w14:paraId="1272E04B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Термопластичные материалы приемных гильз протеза должны обеспечивать термическую и механическую подгонку (</w:t>
            </w:r>
            <w:proofErr w:type="spellStart"/>
            <w:r w:rsidRPr="00A65F62">
              <w:rPr>
                <w:rFonts w:ascii="Times New Roman" w:eastAsia="Arial" w:hAnsi="Times New Roman" w:cs="Times New Roman"/>
              </w:rPr>
              <w:t>подформовку</w:t>
            </w:r>
            <w:proofErr w:type="spellEnd"/>
            <w:r w:rsidRPr="00A65F62">
              <w:rPr>
                <w:rFonts w:ascii="Times New Roman" w:eastAsia="Arial" w:hAnsi="Times New Roman" w:cs="Times New Roman"/>
              </w:rPr>
              <w:t>).</w:t>
            </w:r>
          </w:p>
          <w:p w14:paraId="5C13482E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 xml:space="preserve">  - Материалы приемных гильз должны обеспечивать установку заклепочных соединений без образования растрескиваний и разрывов.</w:t>
            </w:r>
          </w:p>
          <w:p w14:paraId="6AC4E99F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- Материалы приемных гильз не должны деформироваться в процессе эксплуатации протеза.</w:t>
            </w:r>
          </w:p>
          <w:p w14:paraId="1F435B98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65F62">
              <w:rPr>
                <w:rFonts w:ascii="Times New Roman" w:eastAsia="Arial" w:hAnsi="Times New Roman" w:cs="Times New Roman"/>
                <w:b/>
              </w:rPr>
              <w:t>Требования к результатам работ</w:t>
            </w:r>
          </w:p>
          <w:p w14:paraId="761DA02C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Работы по обеспечению инвалидов и отдельных категорий граждан из числа ветеранов протезами бедра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бедра должны быть выполнены с надлежащим качеством и в установленные сроки.</w:t>
            </w:r>
          </w:p>
          <w:p w14:paraId="69969C89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65F62">
              <w:rPr>
                <w:rFonts w:ascii="Times New Roman" w:eastAsia="Arial" w:hAnsi="Times New Roman" w:cs="Times New Roman"/>
                <w:b/>
              </w:rPr>
              <w:t>Требования к срокам и (или) объему предоставления гарантии качества работ</w:t>
            </w:r>
          </w:p>
          <w:p w14:paraId="52002AFB" w14:textId="77777777" w:rsidR="00A65F62" w:rsidRPr="00A65F62" w:rsidRDefault="00A65F62" w:rsidP="00A65F62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</w:rPr>
            </w:pPr>
            <w:r w:rsidRPr="00A65F62">
              <w:rPr>
                <w:rFonts w:ascii="Times New Roman" w:eastAsia="Arial" w:hAnsi="Times New Roman" w:cs="Times New Roman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14:paraId="6B7DB8A5" w14:textId="77777777" w:rsidR="00A65F62" w:rsidRPr="00A65F62" w:rsidRDefault="00A65F62" w:rsidP="00A65F6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A65F62">
              <w:rPr>
                <w:rFonts w:ascii="Times New Roman" w:eastAsia="Arial" w:hAnsi="Times New Roman" w:cs="Times New Roman"/>
                <w:b/>
              </w:rPr>
              <w:t>Требования к месту, условиям и срокам (периодам) выполнения работ.</w:t>
            </w:r>
            <w:r w:rsidRPr="00A65F62">
              <w:rPr>
                <w:rFonts w:ascii="Times New Roman" w:eastAsia="Arial" w:hAnsi="Times New Roman" w:cs="Times New Roman"/>
              </w:rPr>
              <w:t xml:space="preserve"> Выполнение работ для обеспечения инвалидов и отдельных категорий граждан из числа ветеранов протезами бедра конечностей производится до 01 декабря 2022 года. Срок выполнения Работ со дня получения списков или обращения инвалида (ветерана) к Исполнителю по направлению Заказчика – не более 45 дней. Место выполнения работ для обеспечения инвалидов и отдельных </w:t>
            </w:r>
            <w:r w:rsidRPr="00A65F62">
              <w:rPr>
                <w:rFonts w:ascii="Times New Roman" w:eastAsia="Arial" w:hAnsi="Times New Roman" w:cs="Times New Roman"/>
                <w:color w:val="000000"/>
              </w:rPr>
              <w:t xml:space="preserve">категорий граждан из числа ветеранов протезами 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 </w:t>
            </w:r>
            <w:r w:rsidRPr="00A65F62">
              <w:rPr>
                <w:rFonts w:ascii="Times New Roman" w:eastAsia="Arial" w:hAnsi="Times New Roman" w:cs="Times New Roman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18D7F" w14:textId="77777777" w:rsidR="00A65F62" w:rsidRPr="00A65F62" w:rsidRDefault="00A65F62" w:rsidP="00A65F6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65F62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</w:tbl>
    <w:p w14:paraId="0A6A6B16" w14:textId="77777777" w:rsidR="00577849" w:rsidRDefault="00577849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3ADA4E6E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54F76">
        <w:rPr>
          <w:rFonts w:ascii="Times New Roman" w:eastAsia="Arial" w:hAnsi="Times New Roman" w:cs="Times New Roman"/>
          <w:b/>
          <w:color w:val="000000"/>
          <w:spacing w:val="-4"/>
          <w:szCs w:val="20"/>
          <w:lang w:eastAsia="zh-CN"/>
        </w:rPr>
        <w:t>Требования к пункту выдачи результатов выполненных работ.</w:t>
      </w: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поселений».</w:t>
      </w:r>
    </w:p>
    <w:p w14:paraId="63FFA641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00991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В течение двух дней после подписания Контракта</w:t>
      </w: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Исполнитель должен предоставить Заказчику информацию об адресе пункта (пунктов) выдачи, графике работы пункта (пунктов), контактном телефоне.</w:t>
      </w:r>
    </w:p>
    <w:p w14:paraId="6199F2B6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Пункт выдачи должен иметь отдельный вход с улицы, зону ожидания Получателей, с мебелью для ожидания в сидячем положении. </w:t>
      </w:r>
    </w:p>
    <w:p w14:paraId="6A012DEB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</w:r>
    </w:p>
    <w:p w14:paraId="4A4B8F99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Пункт выдачи должен быть оборудован камерами </w:t>
      </w:r>
      <w:proofErr w:type="spellStart"/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видеофиксации</w:t>
      </w:r>
      <w:proofErr w:type="spellEnd"/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, которые будут вести видеозапись приема-передачи товара Получателям, а также телефонными аппаратами для консультации Получателей ТСР.</w:t>
      </w:r>
    </w:p>
    <w:p w14:paraId="4FD0CAC1" w14:textId="77777777" w:rsidR="00A65F62" w:rsidRPr="00F54F76" w:rsidRDefault="00A65F62" w:rsidP="00A65F62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</w:r>
    </w:p>
    <w:p w14:paraId="17FF36B7" w14:textId="77777777" w:rsidR="00A65F62" w:rsidRDefault="00A65F62" w:rsidP="00A6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F54F7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14:paraId="2F9AECC8" w14:textId="2612B664" w:rsidR="00577849" w:rsidRPr="00577849" w:rsidRDefault="00577849" w:rsidP="0057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EFE8F25" w14:textId="77777777" w:rsidR="00A00FB0" w:rsidRPr="00846B91" w:rsidRDefault="00A00FB0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811706" w14:textId="77777777" w:rsidR="00FC059F" w:rsidRPr="00FC059F" w:rsidRDefault="00FC059F" w:rsidP="00FC059F">
      <w:pPr>
        <w:suppressAutoHyphens/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C059F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zh-CN"/>
        </w:rPr>
        <w:t>(в случае использования и/или не использования Заказчиком таких показателей).</w:t>
      </w:r>
    </w:p>
    <w:p w14:paraId="1A4C8D94" w14:textId="032F48A2" w:rsidR="00591BA1" w:rsidRPr="00B909F6" w:rsidRDefault="00FC059F" w:rsidP="00B909F6">
      <w:pPr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После проведения </w:t>
      </w:r>
      <w:r>
        <w:rPr>
          <w:rFonts w:ascii="Times New Roman" w:eastAsia="Arial" w:hAnsi="Times New Roman" w:cs="Times New Roman"/>
          <w:color w:val="000000"/>
          <w:spacing w:val="-4"/>
          <w:lang w:eastAsia="zh-CN"/>
        </w:rPr>
        <w:t>закупки</w:t>
      </w:r>
      <w:r w:rsidRPr="00FC059F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цена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 (работы, услуги)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 определяется путем снижения начальной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(максимальной) цены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</w:t>
      </w:r>
      <w:r w:rsidR="00A00FB0" w:rsidRPr="00A00FB0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(работы, услуги)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пропорционально снижению начально</w:t>
      </w:r>
      <w:r w:rsidR="00B909F6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й (максимальной) цены контракта.</w:t>
      </w:r>
    </w:p>
    <w:sectPr w:rsidR="00591BA1" w:rsidRPr="00B909F6" w:rsidSect="00A65F62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F309" w14:textId="77777777" w:rsidR="00A65F62" w:rsidRDefault="00A65F62" w:rsidP="00A65F62">
      <w:pPr>
        <w:spacing w:after="0" w:line="240" w:lineRule="auto"/>
      </w:pPr>
      <w:r>
        <w:separator/>
      </w:r>
    </w:p>
  </w:endnote>
  <w:endnote w:type="continuationSeparator" w:id="0">
    <w:p w14:paraId="59B466C2" w14:textId="77777777" w:rsidR="00A65F62" w:rsidRDefault="00A65F62" w:rsidP="00A6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4326" w14:textId="77777777" w:rsidR="00A65F62" w:rsidRDefault="00A65F62" w:rsidP="00A65F62">
      <w:pPr>
        <w:spacing w:after="0" w:line="240" w:lineRule="auto"/>
      </w:pPr>
      <w:r>
        <w:separator/>
      </w:r>
    </w:p>
  </w:footnote>
  <w:footnote w:type="continuationSeparator" w:id="0">
    <w:p w14:paraId="165B99E1" w14:textId="77777777" w:rsidR="00A65F62" w:rsidRDefault="00A65F62" w:rsidP="00A65F62">
      <w:pPr>
        <w:spacing w:after="0" w:line="240" w:lineRule="auto"/>
      </w:pPr>
      <w:r>
        <w:continuationSeparator/>
      </w:r>
    </w:p>
  </w:footnote>
  <w:footnote w:id="1">
    <w:p w14:paraId="5FA5D793" w14:textId="77777777" w:rsidR="00A65F62" w:rsidRPr="00D62BC7" w:rsidRDefault="00A65F62" w:rsidP="00A65F62">
      <w:pPr>
        <w:pStyle w:val="aa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294B1E">
        <w:rPr>
          <w:rStyle w:val="ac"/>
          <w:rFonts w:eastAsiaTheme="majorEastAsia"/>
          <w:sz w:val="18"/>
          <w:szCs w:val="18"/>
        </w:rPr>
        <w:footnoteRef/>
      </w:r>
      <w:r w:rsidRPr="00294B1E">
        <w:rPr>
          <w:sz w:val="18"/>
          <w:szCs w:val="18"/>
        </w:rPr>
        <w:t xml:space="preserve"> </w:t>
      </w:r>
      <w:r w:rsidRPr="00D62BC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14:paraId="784BFBA4" w14:textId="77777777" w:rsidR="00A65F62" w:rsidRPr="00927674" w:rsidRDefault="00A65F62" w:rsidP="00A65F62">
      <w:pPr>
        <w:pStyle w:val="aa"/>
        <w:jc w:val="both"/>
        <w:rPr>
          <w:sz w:val="18"/>
        </w:rPr>
      </w:pPr>
      <w:r w:rsidRPr="00D62BC7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62BC7">
        <w:rPr>
          <w:rFonts w:ascii="Times New Roman" w:hAnsi="Times New Roman" w:cs="Times New Roman"/>
          <w:sz w:val="16"/>
          <w:szCs w:val="16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91"/>
    <w:rsid w:val="00577849"/>
    <w:rsid w:val="00591BA1"/>
    <w:rsid w:val="00846B91"/>
    <w:rsid w:val="008C3A31"/>
    <w:rsid w:val="00A00FB0"/>
    <w:rsid w:val="00A65F62"/>
    <w:rsid w:val="00B909F6"/>
    <w:rsid w:val="00BE2DAE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BC1"/>
  <w15:chartTrackingRefBased/>
  <w15:docId w15:val="{CEF324B5-C226-4E2E-95F8-CCDE3709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B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B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65F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65F62"/>
    <w:rPr>
      <w:sz w:val="20"/>
      <w:szCs w:val="20"/>
    </w:rPr>
  </w:style>
  <w:style w:type="character" w:styleId="ac">
    <w:name w:val="footnote reference"/>
    <w:aliases w:val="Ссылка на сноску 45"/>
    <w:basedOn w:val="a0"/>
    <w:uiPriority w:val="99"/>
    <w:unhideWhenUsed/>
    <w:rsid w:val="00A65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8</cp:revision>
  <dcterms:created xsi:type="dcterms:W3CDTF">2021-10-08T12:01:00Z</dcterms:created>
  <dcterms:modified xsi:type="dcterms:W3CDTF">2022-03-18T10:56:00Z</dcterms:modified>
</cp:coreProperties>
</file>