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r w:rsidR="00864824" w:rsidRPr="007F0226">
        <w:t xml:space="preserve">по </w:t>
      </w:r>
      <w:r w:rsidR="006F0DAD">
        <w:t>30</w:t>
      </w:r>
      <w:r w:rsidR="00864824" w:rsidRPr="00A6346C">
        <w:t>.</w:t>
      </w:r>
      <w:r w:rsidR="006F0DAD">
        <w:t>03</w:t>
      </w:r>
      <w:bookmarkStart w:id="0" w:name="_GoBack"/>
      <w:bookmarkEnd w:id="0"/>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6F0DAD" w:rsidRPr="004E72FC" w:rsidRDefault="006F0DAD" w:rsidP="006F0DAD">
      <w:pPr>
        <w:contextualSpacing/>
        <w:jc w:val="center"/>
      </w:pPr>
      <w:r w:rsidRPr="004E72FC">
        <w:rPr>
          <w:b/>
          <w:bCs/>
        </w:rPr>
        <w:t>Сведения о включенных в цену товара расходах</w:t>
      </w:r>
    </w:p>
    <w:p w:rsidR="006F0DAD" w:rsidRPr="004E72FC" w:rsidRDefault="006F0DAD" w:rsidP="006F0DAD">
      <w:pPr>
        <w:ind w:firstLine="709"/>
        <w:contextualSpacing/>
        <w:jc w:val="both"/>
        <w:textAlignment w:val="baseline"/>
      </w:pPr>
      <w:r w:rsidRPr="004E72FC">
        <w:rPr>
          <w:rFonts w:eastAsia="SimSun"/>
          <w:lang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6F0DAD" w:rsidRPr="004E72FC" w:rsidRDefault="006F0DAD" w:rsidP="006F0DAD">
      <w:pPr>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309"/>
        <w:gridCol w:w="1831"/>
        <w:gridCol w:w="1544"/>
        <w:gridCol w:w="2283"/>
        <w:gridCol w:w="4075"/>
        <w:gridCol w:w="1260"/>
      </w:tblGrid>
      <w:tr w:rsidR="006F0DAD" w:rsidRPr="004E72FC" w:rsidTr="006F0DAD">
        <w:tc>
          <w:tcPr>
            <w:tcW w:w="3196" w:type="pct"/>
            <w:gridSpan w:val="5"/>
            <w:shd w:val="clear" w:color="auto" w:fill="auto"/>
          </w:tcPr>
          <w:p w:rsidR="006F0DAD" w:rsidRPr="004E72FC" w:rsidRDefault="006F0DAD" w:rsidP="00C57148">
            <w:pPr>
              <w:contextualSpacing/>
              <w:jc w:val="right"/>
              <w:rPr>
                <w:sz w:val="20"/>
              </w:rPr>
            </w:pPr>
          </w:p>
        </w:tc>
        <w:tc>
          <w:tcPr>
            <w:tcW w:w="1378" w:type="pct"/>
            <w:shd w:val="clear" w:color="auto" w:fill="auto"/>
          </w:tcPr>
          <w:p w:rsidR="006F0DAD" w:rsidRPr="004E72FC" w:rsidRDefault="006F0DAD" w:rsidP="00C57148">
            <w:pPr>
              <w:contextualSpacing/>
              <w:jc w:val="right"/>
              <w:rPr>
                <w:sz w:val="20"/>
              </w:rPr>
            </w:pPr>
          </w:p>
        </w:tc>
        <w:tc>
          <w:tcPr>
            <w:tcW w:w="426" w:type="pct"/>
            <w:shd w:val="clear" w:color="auto" w:fill="auto"/>
          </w:tcPr>
          <w:p w:rsidR="006F0DAD" w:rsidRPr="004E72FC" w:rsidRDefault="006F0DAD" w:rsidP="00C57148">
            <w:pPr>
              <w:contextualSpacing/>
              <w:jc w:val="right"/>
              <w:rPr>
                <w:sz w:val="20"/>
              </w:rPr>
            </w:pPr>
          </w:p>
        </w:tc>
      </w:tr>
      <w:tr w:rsidR="006F0DAD" w:rsidRPr="004E72FC" w:rsidTr="006F0DAD">
        <w:tc>
          <w:tcPr>
            <w:tcW w:w="164" w:type="pct"/>
            <w:shd w:val="clear" w:color="auto" w:fill="auto"/>
          </w:tcPr>
          <w:p w:rsidR="006F0DAD" w:rsidRPr="004E72FC" w:rsidRDefault="006F0DAD" w:rsidP="00C57148">
            <w:pPr>
              <w:contextualSpacing/>
              <w:jc w:val="center"/>
              <w:rPr>
                <w:sz w:val="20"/>
              </w:rPr>
            </w:pPr>
            <w:r w:rsidRPr="004E72FC">
              <w:rPr>
                <w:sz w:val="20"/>
              </w:rPr>
              <w:t>№</w:t>
            </w:r>
          </w:p>
          <w:p w:rsidR="006F0DAD" w:rsidRPr="004E72FC" w:rsidRDefault="006F0DAD" w:rsidP="00C57148">
            <w:pPr>
              <w:contextualSpacing/>
              <w:jc w:val="center"/>
              <w:rPr>
                <w:sz w:val="20"/>
              </w:rPr>
            </w:pPr>
            <w:r w:rsidRPr="004E72FC">
              <w:rPr>
                <w:sz w:val="20"/>
              </w:rPr>
              <w:t>п/п</w:t>
            </w:r>
          </w:p>
        </w:tc>
        <w:tc>
          <w:tcPr>
            <w:tcW w:w="1119" w:type="pct"/>
            <w:shd w:val="clear" w:color="auto" w:fill="auto"/>
          </w:tcPr>
          <w:p w:rsidR="006F0DAD" w:rsidRPr="004E72FC" w:rsidRDefault="006F0DAD" w:rsidP="00C57148">
            <w:pPr>
              <w:contextualSpacing/>
              <w:jc w:val="center"/>
              <w:rPr>
                <w:sz w:val="20"/>
              </w:rPr>
            </w:pPr>
            <w:r w:rsidRPr="004E72FC">
              <w:rPr>
                <w:sz w:val="20"/>
              </w:rPr>
              <w:t>Наименование по КТРУ/Код позиции каталога</w:t>
            </w:r>
          </w:p>
        </w:tc>
        <w:tc>
          <w:tcPr>
            <w:tcW w:w="619" w:type="pct"/>
            <w:shd w:val="clear" w:color="auto" w:fill="auto"/>
          </w:tcPr>
          <w:p w:rsidR="006F0DAD" w:rsidRPr="004E72FC" w:rsidRDefault="006F0DAD" w:rsidP="00C57148">
            <w:pPr>
              <w:contextualSpacing/>
              <w:jc w:val="center"/>
              <w:rPr>
                <w:sz w:val="20"/>
              </w:rPr>
            </w:pPr>
            <w:r w:rsidRPr="004E72FC">
              <w:rPr>
                <w:sz w:val="20"/>
              </w:rPr>
              <w:t>Описание в соответствии с КТРУ</w:t>
            </w:r>
          </w:p>
        </w:tc>
        <w:tc>
          <w:tcPr>
            <w:tcW w:w="522" w:type="pct"/>
            <w:shd w:val="clear" w:color="auto" w:fill="auto"/>
          </w:tcPr>
          <w:p w:rsidR="006F0DAD" w:rsidRPr="004E72FC" w:rsidRDefault="006F0DAD" w:rsidP="00C57148">
            <w:pPr>
              <w:contextualSpacing/>
              <w:jc w:val="center"/>
            </w:pPr>
          </w:p>
          <w:p w:rsidR="006F0DAD" w:rsidRPr="004E72FC" w:rsidRDefault="006F0DAD" w:rsidP="00C57148">
            <w:pPr>
              <w:contextualSpacing/>
              <w:jc w:val="center"/>
            </w:pPr>
          </w:p>
          <w:p w:rsidR="006F0DAD" w:rsidRPr="004E72FC" w:rsidRDefault="006F0DAD" w:rsidP="00C57148">
            <w:pPr>
              <w:contextualSpacing/>
              <w:jc w:val="center"/>
            </w:pPr>
          </w:p>
          <w:p w:rsidR="006F0DAD" w:rsidRPr="004E72FC" w:rsidRDefault="006F0DAD" w:rsidP="00C57148">
            <w:pPr>
              <w:contextualSpacing/>
              <w:jc w:val="center"/>
            </w:pPr>
          </w:p>
          <w:p w:rsidR="006F0DAD" w:rsidRPr="004E72FC" w:rsidRDefault="006F0DAD" w:rsidP="00C57148">
            <w:pPr>
              <w:contextualSpacing/>
              <w:jc w:val="center"/>
            </w:pPr>
          </w:p>
          <w:p w:rsidR="006F0DAD" w:rsidRPr="004E72FC" w:rsidRDefault="006F0DAD" w:rsidP="00C57148">
            <w:pPr>
              <w:contextualSpacing/>
              <w:jc w:val="center"/>
              <w:rPr>
                <w:sz w:val="20"/>
              </w:rPr>
            </w:pPr>
            <w:r w:rsidRPr="004E72FC">
              <w:rPr>
                <w:sz w:val="20"/>
              </w:rPr>
              <w:t>ОКПД2 / НКМИ</w:t>
            </w:r>
          </w:p>
        </w:tc>
        <w:tc>
          <w:tcPr>
            <w:tcW w:w="772" w:type="pct"/>
            <w:shd w:val="clear" w:color="auto" w:fill="auto"/>
          </w:tcPr>
          <w:p w:rsidR="006F0DAD" w:rsidRPr="004E72FC" w:rsidRDefault="006F0DAD" w:rsidP="00C57148">
            <w:pPr>
              <w:contextualSpacing/>
              <w:jc w:val="center"/>
              <w:rPr>
                <w:sz w:val="20"/>
              </w:rPr>
            </w:pPr>
            <w:r w:rsidRPr="004E72FC">
              <w:rPr>
                <w:sz w:val="20"/>
              </w:rPr>
              <w:t>Номер вида и наименование технического средства реабилитации (изделий)</w:t>
            </w:r>
            <w:r w:rsidRPr="004E72FC">
              <w:rPr>
                <w:sz w:val="20"/>
                <w:vertAlign w:val="superscript"/>
              </w:rPr>
              <w:t>1</w:t>
            </w:r>
            <w:r w:rsidRPr="004E72FC">
              <w:rPr>
                <w:sz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p w:rsidR="006F0DAD" w:rsidRPr="004E72FC" w:rsidRDefault="006F0DAD" w:rsidP="00C57148">
            <w:pPr>
              <w:contextualSpacing/>
              <w:jc w:val="center"/>
            </w:pPr>
          </w:p>
        </w:tc>
        <w:tc>
          <w:tcPr>
            <w:tcW w:w="1378" w:type="pct"/>
            <w:shd w:val="clear" w:color="auto" w:fill="auto"/>
          </w:tcPr>
          <w:p w:rsidR="006F0DAD" w:rsidRPr="004E72FC" w:rsidRDefault="006F0DAD" w:rsidP="00C57148">
            <w:pPr>
              <w:contextualSpacing/>
              <w:jc w:val="center"/>
              <w:rPr>
                <w:sz w:val="20"/>
              </w:rPr>
            </w:pPr>
            <w:r w:rsidRPr="004E72FC">
              <w:rPr>
                <w:sz w:val="20"/>
              </w:rPr>
              <w:t>Технические и функциональные характеристики Товара</w:t>
            </w:r>
          </w:p>
        </w:tc>
        <w:tc>
          <w:tcPr>
            <w:tcW w:w="426" w:type="pct"/>
            <w:shd w:val="clear" w:color="auto" w:fill="auto"/>
          </w:tcPr>
          <w:p w:rsidR="006F0DAD" w:rsidRPr="004E72FC" w:rsidRDefault="006F0DAD" w:rsidP="00C57148">
            <w:pPr>
              <w:contextualSpacing/>
              <w:jc w:val="center"/>
              <w:rPr>
                <w:sz w:val="20"/>
              </w:rPr>
            </w:pPr>
          </w:p>
        </w:tc>
      </w:tr>
      <w:tr w:rsidR="006F0DAD" w:rsidRPr="004E72FC" w:rsidTr="006F0DAD">
        <w:tc>
          <w:tcPr>
            <w:tcW w:w="164" w:type="pct"/>
            <w:shd w:val="clear" w:color="auto" w:fill="auto"/>
          </w:tcPr>
          <w:p w:rsidR="006F0DAD" w:rsidRPr="004E72FC" w:rsidRDefault="006F0DAD" w:rsidP="00C57148">
            <w:pPr>
              <w:contextualSpacing/>
              <w:jc w:val="center"/>
              <w:rPr>
                <w:b/>
                <w:sz w:val="20"/>
              </w:rPr>
            </w:pPr>
            <w:r w:rsidRPr="004E72FC">
              <w:rPr>
                <w:b/>
                <w:sz w:val="20"/>
              </w:rPr>
              <w:t>1</w:t>
            </w:r>
          </w:p>
        </w:tc>
        <w:tc>
          <w:tcPr>
            <w:tcW w:w="1119" w:type="pct"/>
            <w:shd w:val="clear" w:color="auto" w:fill="auto"/>
          </w:tcPr>
          <w:p w:rsidR="006F0DAD" w:rsidRPr="004E72FC" w:rsidRDefault="006F0DAD" w:rsidP="00C57148">
            <w:pPr>
              <w:contextualSpacing/>
              <w:jc w:val="center"/>
              <w:rPr>
                <w:b/>
                <w:sz w:val="20"/>
              </w:rPr>
            </w:pPr>
            <w:r w:rsidRPr="004E72FC">
              <w:rPr>
                <w:b/>
                <w:sz w:val="20"/>
              </w:rPr>
              <w:t>2</w:t>
            </w:r>
          </w:p>
        </w:tc>
        <w:tc>
          <w:tcPr>
            <w:tcW w:w="619" w:type="pct"/>
            <w:shd w:val="clear" w:color="auto" w:fill="auto"/>
          </w:tcPr>
          <w:p w:rsidR="006F0DAD" w:rsidRPr="004E72FC" w:rsidRDefault="006F0DAD" w:rsidP="00C57148">
            <w:pPr>
              <w:contextualSpacing/>
              <w:jc w:val="center"/>
              <w:rPr>
                <w:b/>
                <w:sz w:val="20"/>
              </w:rPr>
            </w:pPr>
            <w:r w:rsidRPr="004E72FC">
              <w:rPr>
                <w:b/>
                <w:sz w:val="20"/>
              </w:rPr>
              <w:t>3</w:t>
            </w:r>
          </w:p>
        </w:tc>
        <w:tc>
          <w:tcPr>
            <w:tcW w:w="522" w:type="pct"/>
            <w:shd w:val="clear" w:color="auto" w:fill="auto"/>
          </w:tcPr>
          <w:p w:rsidR="006F0DAD" w:rsidRPr="004E72FC" w:rsidRDefault="006F0DAD" w:rsidP="00C57148">
            <w:pPr>
              <w:contextualSpacing/>
              <w:jc w:val="center"/>
              <w:rPr>
                <w:b/>
                <w:sz w:val="20"/>
              </w:rPr>
            </w:pPr>
            <w:r w:rsidRPr="004E72FC">
              <w:rPr>
                <w:b/>
                <w:sz w:val="20"/>
              </w:rPr>
              <w:t>4</w:t>
            </w:r>
          </w:p>
        </w:tc>
        <w:tc>
          <w:tcPr>
            <w:tcW w:w="772" w:type="pct"/>
            <w:shd w:val="clear" w:color="auto" w:fill="auto"/>
          </w:tcPr>
          <w:p w:rsidR="006F0DAD" w:rsidRPr="004E72FC" w:rsidRDefault="006F0DAD" w:rsidP="00C57148">
            <w:pPr>
              <w:contextualSpacing/>
              <w:jc w:val="center"/>
              <w:rPr>
                <w:b/>
                <w:sz w:val="20"/>
              </w:rPr>
            </w:pPr>
            <w:r w:rsidRPr="004E72FC">
              <w:rPr>
                <w:b/>
                <w:sz w:val="20"/>
              </w:rPr>
              <w:t>5</w:t>
            </w:r>
          </w:p>
        </w:tc>
        <w:tc>
          <w:tcPr>
            <w:tcW w:w="1378" w:type="pct"/>
            <w:shd w:val="clear" w:color="auto" w:fill="auto"/>
          </w:tcPr>
          <w:p w:rsidR="006F0DAD" w:rsidRPr="004E72FC" w:rsidRDefault="006F0DAD" w:rsidP="00C57148">
            <w:pPr>
              <w:contextualSpacing/>
              <w:jc w:val="center"/>
              <w:rPr>
                <w:b/>
                <w:sz w:val="20"/>
              </w:rPr>
            </w:pPr>
            <w:r w:rsidRPr="004E72FC">
              <w:rPr>
                <w:b/>
                <w:sz w:val="20"/>
              </w:rPr>
              <w:t>6</w:t>
            </w:r>
          </w:p>
        </w:tc>
        <w:tc>
          <w:tcPr>
            <w:tcW w:w="426" w:type="pct"/>
            <w:shd w:val="clear" w:color="auto" w:fill="auto"/>
          </w:tcPr>
          <w:p w:rsidR="006F0DAD" w:rsidRPr="004E72FC" w:rsidRDefault="006F0DAD" w:rsidP="00C57148">
            <w:pPr>
              <w:contextualSpacing/>
              <w:jc w:val="center"/>
              <w:rPr>
                <w:b/>
                <w:sz w:val="20"/>
              </w:rPr>
            </w:pPr>
          </w:p>
        </w:tc>
      </w:tr>
      <w:tr w:rsidR="006F0DAD" w:rsidRPr="004E72FC" w:rsidTr="006F0DAD">
        <w:tc>
          <w:tcPr>
            <w:tcW w:w="164" w:type="pct"/>
            <w:shd w:val="clear" w:color="auto" w:fill="auto"/>
          </w:tcPr>
          <w:p w:rsidR="006F0DAD" w:rsidRPr="004E72FC" w:rsidRDefault="006F0DAD" w:rsidP="00C57148">
            <w:pPr>
              <w:contextualSpacing/>
              <w:rPr>
                <w:b/>
              </w:rPr>
            </w:pPr>
            <w:r w:rsidRPr="004E72FC">
              <w:rPr>
                <w:b/>
              </w:rPr>
              <w:t>1</w:t>
            </w:r>
          </w:p>
        </w:tc>
        <w:tc>
          <w:tcPr>
            <w:tcW w:w="1119" w:type="pct"/>
            <w:shd w:val="clear" w:color="auto" w:fill="auto"/>
          </w:tcPr>
          <w:p w:rsidR="006F0DAD" w:rsidRPr="004E72FC" w:rsidRDefault="006F0DAD" w:rsidP="00C57148">
            <w:pPr>
              <w:contextualSpacing/>
              <w:jc w:val="both"/>
              <w:rPr>
                <w:rFonts w:eastAsia="Times"/>
              </w:rPr>
            </w:pPr>
            <w:r w:rsidRPr="004E72FC">
              <w:rPr>
                <w:rFonts w:eastAsia="Times"/>
              </w:rPr>
              <w:t>Калоприемник для кишечной стомы открытого типа, однокомпонентный/32.50.13.190-00006906</w:t>
            </w:r>
          </w:p>
          <w:p w:rsidR="006F0DAD" w:rsidRPr="004E72FC" w:rsidRDefault="006F0DAD" w:rsidP="00C57148">
            <w:pPr>
              <w:contextualSpacing/>
              <w:jc w:val="both"/>
              <w:rPr>
                <w:rFonts w:eastAsia="Times"/>
              </w:rPr>
            </w:pPr>
          </w:p>
          <w:p w:rsidR="006F0DAD" w:rsidRPr="004E72FC" w:rsidRDefault="006F0DAD" w:rsidP="00C57148">
            <w:pPr>
              <w:contextualSpacing/>
              <w:jc w:val="both"/>
              <w:rPr>
                <w:rFonts w:eastAsia="Times"/>
              </w:rPr>
            </w:pPr>
          </w:p>
        </w:tc>
        <w:tc>
          <w:tcPr>
            <w:tcW w:w="619" w:type="pct"/>
            <w:shd w:val="clear" w:color="auto" w:fill="auto"/>
          </w:tcPr>
          <w:p w:rsidR="006F0DAD" w:rsidRPr="004E72FC" w:rsidRDefault="006F0DAD" w:rsidP="00C57148">
            <w:pPr>
              <w:contextualSpacing/>
              <w:jc w:val="both"/>
              <w:rPr>
                <w:rFonts w:eastAsia="Times"/>
              </w:rPr>
            </w:pPr>
            <w:r w:rsidRPr="004E72FC">
              <w:rPr>
                <w:rFonts w:eastAsia="Times"/>
              </w:rPr>
              <w:lastRenderedPageBreak/>
              <w:t>Сведения отсутствуют</w:t>
            </w:r>
          </w:p>
        </w:tc>
        <w:tc>
          <w:tcPr>
            <w:tcW w:w="522" w:type="pct"/>
            <w:shd w:val="clear" w:color="auto" w:fill="auto"/>
          </w:tcPr>
          <w:p w:rsidR="006F0DAD" w:rsidRPr="004E72FC" w:rsidRDefault="006F0DAD" w:rsidP="00C57148">
            <w:pPr>
              <w:contextualSpacing/>
              <w:jc w:val="center"/>
              <w:rPr>
                <w:rFonts w:eastAsia="Times"/>
              </w:rPr>
            </w:pPr>
            <w:r w:rsidRPr="004E72FC">
              <w:rPr>
                <w:rFonts w:eastAsia="Times"/>
              </w:rPr>
              <w:t xml:space="preserve">ОКПД2 32.50.13.190 </w:t>
            </w:r>
            <w:r w:rsidRPr="004E72FC">
              <w:t xml:space="preserve"> </w:t>
            </w:r>
            <w:r w:rsidRPr="004E72FC">
              <w:rPr>
                <w:rFonts w:eastAsia="Times"/>
              </w:rPr>
              <w:t xml:space="preserve">32.50.50.141/ НКМИ </w:t>
            </w:r>
            <w:r w:rsidRPr="004E72FC">
              <w:rPr>
                <w:rFonts w:eastAsia="Times"/>
              </w:rPr>
              <w:lastRenderedPageBreak/>
              <w:t>156410</w:t>
            </w:r>
          </w:p>
        </w:tc>
        <w:tc>
          <w:tcPr>
            <w:tcW w:w="772" w:type="pct"/>
            <w:shd w:val="clear" w:color="auto" w:fill="auto"/>
          </w:tcPr>
          <w:p w:rsidR="006F0DAD" w:rsidRPr="004E72FC" w:rsidRDefault="006F0DAD" w:rsidP="00C57148">
            <w:pPr>
              <w:contextualSpacing/>
              <w:rPr>
                <w:rFonts w:eastAsia="Times"/>
              </w:rPr>
            </w:pPr>
            <w:r w:rsidRPr="004E72FC">
              <w:rPr>
                <w:rFonts w:eastAsia="Times"/>
              </w:rPr>
              <w:lastRenderedPageBreak/>
              <w:t xml:space="preserve">21-01-01 Однокомпонентный дренируемый калоприемник со </w:t>
            </w:r>
            <w:r w:rsidRPr="004E72FC">
              <w:rPr>
                <w:rFonts w:eastAsia="Times"/>
              </w:rPr>
              <w:lastRenderedPageBreak/>
              <w:t>встроенной плоской пластиной</w:t>
            </w:r>
          </w:p>
        </w:tc>
        <w:tc>
          <w:tcPr>
            <w:tcW w:w="1378" w:type="pct"/>
            <w:shd w:val="clear" w:color="auto" w:fill="auto"/>
          </w:tcPr>
          <w:p w:rsidR="006F0DAD" w:rsidRPr="004E72FC" w:rsidRDefault="006F0DAD" w:rsidP="00C57148">
            <w:pPr>
              <w:contextualSpacing/>
              <w:jc w:val="both"/>
              <w:rPr>
                <w:rFonts w:eastAsia="Times"/>
              </w:rPr>
            </w:pPr>
            <w:r w:rsidRPr="004E72FC">
              <w:rPr>
                <w:rFonts w:eastAsia="Times"/>
              </w:rPr>
              <w:lastRenderedPageBreak/>
              <w:t xml:space="preserve">Пластиковый мешок, предназначенный для присоединения к коже пациента вокруг стомы и использования в качестве емкости </w:t>
            </w:r>
            <w:r w:rsidRPr="004E72FC">
              <w:rPr>
                <w:rFonts w:eastAsia="Times"/>
              </w:rPr>
              <w:lastRenderedPageBreak/>
              <w:t>для сбора фекалий после колостомии или илеостомии (выделения обычно имеют жидкую консистенцию).</w:t>
            </w:r>
          </w:p>
          <w:p w:rsidR="006F0DAD" w:rsidRPr="004E72FC" w:rsidRDefault="006F0DAD" w:rsidP="00C57148">
            <w:pPr>
              <w:contextualSpacing/>
              <w:jc w:val="both"/>
              <w:rPr>
                <w:rFonts w:eastAsia="Times"/>
              </w:rPr>
            </w:pPr>
            <w:r w:rsidRPr="004E72FC">
              <w:rPr>
                <w:rFonts w:eastAsia="Times"/>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6F0DAD" w:rsidRPr="004E72FC" w:rsidRDefault="006F0DAD" w:rsidP="00C57148">
            <w:pPr>
              <w:contextualSpacing/>
              <w:jc w:val="both"/>
              <w:rPr>
                <w:rFonts w:eastAsia="Times"/>
              </w:rPr>
            </w:pPr>
            <w:r w:rsidRPr="004E72FC">
              <w:rPr>
                <w:rFonts w:eastAsia="Times"/>
              </w:rPr>
              <w:t xml:space="preserve">Мешок из многослойного, прозрачного, не пропускающего запах материала (пленки), с односторонним мягким нетканым покрытием, без фильтра, с зажимом или застежкой. </w:t>
            </w:r>
          </w:p>
          <w:p w:rsidR="006F0DAD" w:rsidRPr="004E72FC" w:rsidRDefault="006F0DAD" w:rsidP="00C57148">
            <w:pPr>
              <w:contextualSpacing/>
              <w:jc w:val="both"/>
              <w:rPr>
                <w:rFonts w:eastAsia="Times"/>
              </w:rPr>
            </w:pPr>
            <w:r w:rsidRPr="004E72FC">
              <w:rPr>
                <w:rFonts w:eastAsia="Times"/>
              </w:rPr>
              <w:t>Диаметр вырезаемого отверстия не менее 35 мм и не более 50 мм. Диаметр предварительного отверстия - не более 20 мм.</w:t>
            </w:r>
          </w:p>
        </w:tc>
        <w:tc>
          <w:tcPr>
            <w:tcW w:w="426" w:type="pct"/>
            <w:shd w:val="clear" w:color="auto" w:fill="auto"/>
          </w:tcPr>
          <w:p w:rsidR="006F0DAD" w:rsidRPr="004E72FC" w:rsidRDefault="006F0DAD" w:rsidP="00C57148">
            <w:pPr>
              <w:contextualSpacing/>
              <w:jc w:val="center"/>
            </w:pPr>
            <w:r w:rsidRPr="004E72FC">
              <w:lastRenderedPageBreak/>
              <w:t>500</w:t>
            </w:r>
          </w:p>
        </w:tc>
      </w:tr>
      <w:tr w:rsidR="006F0DAD" w:rsidRPr="004E72FC" w:rsidTr="006F0DAD">
        <w:tc>
          <w:tcPr>
            <w:tcW w:w="164" w:type="pct"/>
            <w:shd w:val="clear" w:color="auto" w:fill="auto"/>
          </w:tcPr>
          <w:p w:rsidR="006F0DAD" w:rsidRPr="004E72FC" w:rsidRDefault="006F0DAD" w:rsidP="00C57148">
            <w:pPr>
              <w:contextualSpacing/>
              <w:rPr>
                <w:b/>
              </w:rPr>
            </w:pPr>
            <w:r w:rsidRPr="004E72FC">
              <w:rPr>
                <w:b/>
              </w:rPr>
              <w:lastRenderedPageBreak/>
              <w:t>2</w:t>
            </w:r>
          </w:p>
        </w:tc>
        <w:tc>
          <w:tcPr>
            <w:tcW w:w="1119" w:type="pct"/>
            <w:shd w:val="clear" w:color="auto" w:fill="auto"/>
          </w:tcPr>
          <w:p w:rsidR="006F0DAD" w:rsidRPr="004E72FC" w:rsidRDefault="006F0DAD" w:rsidP="00C57148">
            <w:pPr>
              <w:contextualSpacing/>
              <w:jc w:val="both"/>
              <w:rPr>
                <w:rFonts w:eastAsia="Times"/>
              </w:rPr>
            </w:pPr>
            <w:r w:rsidRPr="004E72FC">
              <w:rPr>
                <w:rFonts w:eastAsia="Times"/>
              </w:rPr>
              <w:t>Калоприемник для кишечной стомы открытого типа, однокомпонентный/32.50.13.190-00006906</w:t>
            </w:r>
          </w:p>
          <w:p w:rsidR="006F0DAD" w:rsidRPr="004E72FC" w:rsidRDefault="006F0DAD" w:rsidP="00C57148">
            <w:pPr>
              <w:contextualSpacing/>
              <w:jc w:val="both"/>
              <w:rPr>
                <w:rFonts w:eastAsia="Times"/>
              </w:rPr>
            </w:pPr>
          </w:p>
          <w:p w:rsidR="006F0DAD" w:rsidRPr="004E72FC" w:rsidRDefault="006F0DAD" w:rsidP="00C57148">
            <w:pPr>
              <w:contextualSpacing/>
              <w:jc w:val="both"/>
              <w:rPr>
                <w:rFonts w:eastAsia="Times"/>
              </w:rPr>
            </w:pPr>
          </w:p>
        </w:tc>
        <w:tc>
          <w:tcPr>
            <w:tcW w:w="619" w:type="pct"/>
            <w:shd w:val="clear" w:color="auto" w:fill="auto"/>
          </w:tcPr>
          <w:p w:rsidR="006F0DAD" w:rsidRPr="004E72FC" w:rsidRDefault="006F0DAD" w:rsidP="00C57148">
            <w:pPr>
              <w:contextualSpacing/>
              <w:jc w:val="both"/>
              <w:rPr>
                <w:rFonts w:eastAsia="Times"/>
              </w:rPr>
            </w:pPr>
            <w:r w:rsidRPr="004E72FC">
              <w:rPr>
                <w:rFonts w:eastAsia="Times"/>
              </w:rPr>
              <w:t>Сведения отсутствуют</w:t>
            </w:r>
          </w:p>
        </w:tc>
        <w:tc>
          <w:tcPr>
            <w:tcW w:w="522" w:type="pct"/>
            <w:shd w:val="clear" w:color="auto" w:fill="auto"/>
          </w:tcPr>
          <w:p w:rsidR="006F0DAD" w:rsidRPr="004E72FC" w:rsidRDefault="006F0DAD" w:rsidP="00C57148">
            <w:pPr>
              <w:contextualSpacing/>
              <w:jc w:val="center"/>
              <w:rPr>
                <w:rFonts w:eastAsia="Times"/>
              </w:rPr>
            </w:pPr>
            <w:r w:rsidRPr="004E72FC">
              <w:rPr>
                <w:rFonts w:eastAsia="Times"/>
              </w:rPr>
              <w:t xml:space="preserve">ОКПД2 32.50.13.190 </w:t>
            </w:r>
            <w:r w:rsidRPr="004E72FC">
              <w:t xml:space="preserve"> </w:t>
            </w:r>
            <w:r w:rsidRPr="004E72FC">
              <w:rPr>
                <w:rFonts w:eastAsia="Times"/>
              </w:rPr>
              <w:t>32.50.50.141/ НКМИ 156410</w:t>
            </w:r>
          </w:p>
        </w:tc>
        <w:tc>
          <w:tcPr>
            <w:tcW w:w="772" w:type="pct"/>
            <w:shd w:val="clear" w:color="auto" w:fill="auto"/>
          </w:tcPr>
          <w:p w:rsidR="006F0DAD" w:rsidRPr="004E72FC" w:rsidRDefault="006F0DAD" w:rsidP="00C57148">
            <w:pPr>
              <w:contextualSpacing/>
              <w:rPr>
                <w:rFonts w:eastAsia="Times"/>
              </w:rPr>
            </w:pPr>
            <w:r w:rsidRPr="004E72FC">
              <w:rPr>
                <w:rFonts w:eastAsia="Times"/>
              </w:rPr>
              <w:t>21-01-01   Однокомпонентный дренируемый калоприемник со встроенной плоской пластиной</w:t>
            </w:r>
          </w:p>
        </w:tc>
        <w:tc>
          <w:tcPr>
            <w:tcW w:w="1378" w:type="pct"/>
            <w:shd w:val="clear" w:color="auto" w:fill="auto"/>
          </w:tcPr>
          <w:p w:rsidR="006F0DAD" w:rsidRPr="004E72FC" w:rsidRDefault="006F0DAD" w:rsidP="00C57148">
            <w:pPr>
              <w:contextualSpacing/>
              <w:jc w:val="both"/>
              <w:rPr>
                <w:rFonts w:eastAsia="Times"/>
              </w:rPr>
            </w:pPr>
            <w:r w:rsidRPr="004E72FC">
              <w:rPr>
                <w:rFonts w:eastAsia="Times"/>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6F0DAD" w:rsidRPr="004E72FC" w:rsidRDefault="006F0DAD" w:rsidP="00C57148">
            <w:pPr>
              <w:contextualSpacing/>
              <w:jc w:val="both"/>
              <w:rPr>
                <w:rFonts w:eastAsia="Times"/>
              </w:rPr>
            </w:pPr>
            <w:r w:rsidRPr="004E72FC">
              <w:rPr>
                <w:rFonts w:eastAsia="Times"/>
              </w:rPr>
              <w:t xml:space="preserve">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w:t>
            </w:r>
            <w:r w:rsidRPr="004E72FC">
              <w:rPr>
                <w:rFonts w:eastAsia="Times"/>
              </w:rPr>
              <w:lastRenderedPageBreak/>
              <w:t>натуральной, гипоаллергенной гидроколлоидной основе с защитным покрытием, с вырезаемым отверстием под стому.</w:t>
            </w:r>
          </w:p>
          <w:p w:rsidR="006F0DAD" w:rsidRPr="004E72FC" w:rsidRDefault="006F0DAD" w:rsidP="00C57148">
            <w:pPr>
              <w:contextualSpacing/>
              <w:jc w:val="both"/>
              <w:rPr>
                <w:rFonts w:eastAsia="Times"/>
              </w:rPr>
            </w:pPr>
            <w:r w:rsidRPr="004E72FC">
              <w:rPr>
                <w:rFonts w:eastAsia="Times"/>
              </w:rPr>
              <w:t xml:space="preserve">Мешок из многослойного, непрозрачного или прозрачного, не пропускающего запах материала (пленки), с двусторонним мягким нетканым покрытием, с фильтром, с зажимом или застежкой. </w:t>
            </w:r>
          </w:p>
          <w:p w:rsidR="006F0DAD" w:rsidRPr="004E72FC" w:rsidRDefault="006F0DAD" w:rsidP="00C57148">
            <w:pPr>
              <w:contextualSpacing/>
              <w:jc w:val="both"/>
              <w:rPr>
                <w:rFonts w:eastAsia="Times"/>
              </w:rPr>
            </w:pPr>
            <w:r w:rsidRPr="004E72FC">
              <w:rPr>
                <w:rFonts w:eastAsia="Times"/>
              </w:rPr>
              <w:t>Диаметр вырезаемого отверстия не менее 70 мм и не более 85 мм. Диаметр предварительного отверстия - не более 20 мм.</w:t>
            </w:r>
          </w:p>
        </w:tc>
        <w:tc>
          <w:tcPr>
            <w:tcW w:w="426" w:type="pct"/>
            <w:shd w:val="clear" w:color="auto" w:fill="auto"/>
          </w:tcPr>
          <w:p w:rsidR="006F0DAD" w:rsidRPr="004E72FC" w:rsidRDefault="006F0DAD" w:rsidP="00C57148">
            <w:pPr>
              <w:contextualSpacing/>
              <w:jc w:val="center"/>
            </w:pPr>
            <w:r w:rsidRPr="004E72FC">
              <w:lastRenderedPageBreak/>
              <w:t>29 900</w:t>
            </w:r>
          </w:p>
        </w:tc>
      </w:tr>
      <w:tr w:rsidR="006F0DAD" w:rsidRPr="004E72FC" w:rsidTr="006F0DAD">
        <w:tc>
          <w:tcPr>
            <w:tcW w:w="164" w:type="pct"/>
            <w:shd w:val="clear" w:color="auto" w:fill="auto"/>
          </w:tcPr>
          <w:p w:rsidR="006F0DAD" w:rsidRPr="004E72FC" w:rsidRDefault="006F0DAD" w:rsidP="00C57148">
            <w:pPr>
              <w:contextualSpacing/>
              <w:rPr>
                <w:b/>
              </w:rPr>
            </w:pPr>
            <w:r w:rsidRPr="004E72FC">
              <w:rPr>
                <w:b/>
              </w:rPr>
              <w:lastRenderedPageBreak/>
              <w:t>3</w:t>
            </w:r>
          </w:p>
        </w:tc>
        <w:tc>
          <w:tcPr>
            <w:tcW w:w="1119" w:type="pct"/>
            <w:tcBorders>
              <w:top w:val="nil"/>
            </w:tcBorders>
            <w:shd w:val="clear" w:color="auto" w:fill="auto"/>
          </w:tcPr>
          <w:p w:rsidR="006F0DAD" w:rsidRPr="004E72FC" w:rsidRDefault="006F0DAD" w:rsidP="00C57148">
            <w:pPr>
              <w:contextualSpacing/>
              <w:jc w:val="both"/>
              <w:rPr>
                <w:rFonts w:eastAsia="Times"/>
              </w:rPr>
            </w:pPr>
            <w:r w:rsidRPr="004E72FC">
              <w:rPr>
                <w:rFonts w:eastAsia="Times"/>
              </w:rPr>
              <w:t>Калоприемник для кишечной стомы открытого типа, однокомпонентный/32.50.13.190-00006906</w:t>
            </w:r>
          </w:p>
          <w:p w:rsidR="006F0DAD" w:rsidRPr="004E72FC" w:rsidRDefault="006F0DAD" w:rsidP="00C57148">
            <w:pPr>
              <w:contextualSpacing/>
              <w:jc w:val="both"/>
              <w:rPr>
                <w:rFonts w:eastAsia="Times"/>
              </w:rPr>
            </w:pPr>
          </w:p>
          <w:p w:rsidR="006F0DAD" w:rsidRPr="004E72FC" w:rsidRDefault="006F0DAD" w:rsidP="00C57148">
            <w:pPr>
              <w:contextualSpacing/>
              <w:jc w:val="both"/>
              <w:rPr>
                <w:rFonts w:eastAsia="Times"/>
              </w:rPr>
            </w:pPr>
          </w:p>
        </w:tc>
        <w:tc>
          <w:tcPr>
            <w:tcW w:w="619" w:type="pct"/>
            <w:tcBorders>
              <w:top w:val="nil"/>
            </w:tcBorders>
            <w:shd w:val="clear" w:color="auto" w:fill="auto"/>
          </w:tcPr>
          <w:p w:rsidR="006F0DAD" w:rsidRPr="004E72FC" w:rsidRDefault="006F0DAD" w:rsidP="00C57148">
            <w:pPr>
              <w:contextualSpacing/>
              <w:jc w:val="both"/>
              <w:rPr>
                <w:rFonts w:eastAsia="Times"/>
              </w:rPr>
            </w:pPr>
            <w:r w:rsidRPr="004E72FC">
              <w:rPr>
                <w:rFonts w:eastAsia="Times"/>
              </w:rPr>
              <w:t>Сведения отсутствуют</w:t>
            </w:r>
          </w:p>
        </w:tc>
        <w:tc>
          <w:tcPr>
            <w:tcW w:w="522" w:type="pct"/>
            <w:tcBorders>
              <w:top w:val="nil"/>
            </w:tcBorders>
            <w:shd w:val="clear" w:color="auto" w:fill="auto"/>
          </w:tcPr>
          <w:p w:rsidR="006F0DAD" w:rsidRPr="004E72FC" w:rsidRDefault="006F0DAD" w:rsidP="00C57148">
            <w:pPr>
              <w:contextualSpacing/>
              <w:jc w:val="center"/>
              <w:rPr>
                <w:rFonts w:eastAsia="Times"/>
              </w:rPr>
            </w:pPr>
            <w:r w:rsidRPr="004E72FC">
              <w:rPr>
                <w:rFonts w:eastAsia="Times"/>
              </w:rPr>
              <w:t xml:space="preserve">ОКПД2 32.50.13.190 </w:t>
            </w:r>
            <w:r w:rsidRPr="004E72FC">
              <w:t xml:space="preserve"> </w:t>
            </w:r>
            <w:r w:rsidRPr="004E72FC">
              <w:rPr>
                <w:rFonts w:eastAsia="Times"/>
              </w:rPr>
              <w:t>32.50.50.141/ НКМИ 156410</w:t>
            </w:r>
          </w:p>
        </w:tc>
        <w:tc>
          <w:tcPr>
            <w:tcW w:w="772" w:type="pct"/>
            <w:tcBorders>
              <w:top w:val="nil"/>
            </w:tcBorders>
            <w:shd w:val="clear" w:color="auto" w:fill="auto"/>
          </w:tcPr>
          <w:p w:rsidR="006F0DAD" w:rsidRPr="004E72FC" w:rsidRDefault="006F0DAD" w:rsidP="00C57148">
            <w:pPr>
              <w:contextualSpacing/>
              <w:jc w:val="center"/>
              <w:rPr>
                <w:rFonts w:eastAsia="Times"/>
              </w:rPr>
            </w:pPr>
            <w:r w:rsidRPr="004E72FC">
              <w:rPr>
                <w:rFonts w:eastAsia="Times"/>
              </w:rPr>
              <w:t>21-01-01   Однокомпонентный дренируемый калоприемник со встроенной плоской пластиной</w:t>
            </w:r>
          </w:p>
        </w:tc>
        <w:tc>
          <w:tcPr>
            <w:tcW w:w="1378" w:type="pct"/>
            <w:tcBorders>
              <w:top w:val="nil"/>
            </w:tcBorders>
            <w:shd w:val="clear" w:color="auto" w:fill="auto"/>
          </w:tcPr>
          <w:p w:rsidR="006F0DAD" w:rsidRPr="004E72FC" w:rsidRDefault="006F0DAD" w:rsidP="00C57148">
            <w:pPr>
              <w:contextualSpacing/>
              <w:jc w:val="both"/>
              <w:rPr>
                <w:rFonts w:eastAsia="Times"/>
              </w:rPr>
            </w:pPr>
            <w:r w:rsidRPr="004E72FC">
              <w:rPr>
                <w:rFonts w:eastAsia="Times"/>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6F0DAD" w:rsidRPr="004E72FC" w:rsidRDefault="006F0DAD" w:rsidP="00C57148">
            <w:pPr>
              <w:contextualSpacing/>
              <w:jc w:val="both"/>
              <w:rPr>
                <w:rFonts w:eastAsia="Times"/>
              </w:rPr>
            </w:pPr>
            <w:r w:rsidRPr="004E72FC">
              <w:rPr>
                <w:rFonts w:eastAsia="Times"/>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6F0DAD" w:rsidRPr="004E72FC" w:rsidRDefault="006F0DAD" w:rsidP="00C57148">
            <w:pPr>
              <w:contextualSpacing/>
              <w:jc w:val="both"/>
              <w:rPr>
                <w:rFonts w:eastAsia="Times"/>
              </w:rPr>
            </w:pPr>
            <w:r w:rsidRPr="004E72FC">
              <w:rPr>
                <w:rFonts w:eastAsia="Times"/>
              </w:rPr>
              <w:t xml:space="preserve">Мешок из многослойного, непрозрачного или прозрачного, не пропускающего запах материала (пленки), без фильтра, с </w:t>
            </w:r>
            <w:r w:rsidRPr="004E72FC">
              <w:rPr>
                <w:rFonts w:eastAsia="Times"/>
              </w:rPr>
              <w:lastRenderedPageBreak/>
              <w:t>двусторонним мягким нетканым покрытием или без, с зажимом или застежкой. Диаметр вырезаемого отверстия не менее 80 мм и не более 90 мм. Диаметр предварительного отверстия - не более 20  мм.</w:t>
            </w:r>
          </w:p>
        </w:tc>
        <w:tc>
          <w:tcPr>
            <w:tcW w:w="426" w:type="pct"/>
            <w:shd w:val="clear" w:color="auto" w:fill="auto"/>
          </w:tcPr>
          <w:p w:rsidR="006F0DAD" w:rsidRPr="004E72FC" w:rsidRDefault="006F0DAD" w:rsidP="00C57148">
            <w:pPr>
              <w:contextualSpacing/>
              <w:jc w:val="center"/>
            </w:pPr>
            <w:r w:rsidRPr="004E72FC">
              <w:lastRenderedPageBreak/>
              <w:t>2500</w:t>
            </w:r>
          </w:p>
        </w:tc>
      </w:tr>
    </w:tbl>
    <w:p w:rsidR="006F0DAD" w:rsidRPr="004E72FC" w:rsidRDefault="006F0DAD" w:rsidP="006F0DAD">
      <w:pPr>
        <w:ind w:firstLine="709"/>
        <w:contextualSpacing/>
        <w:jc w:val="both"/>
      </w:pPr>
    </w:p>
    <w:p w:rsidR="006F0DAD" w:rsidRPr="004E72FC" w:rsidRDefault="006F0DAD" w:rsidP="006F0DAD">
      <w:pPr>
        <w:ind w:firstLine="709"/>
        <w:contextualSpacing/>
        <w:jc w:val="both"/>
      </w:pPr>
      <w:r w:rsidRPr="004E72FC">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6F0DAD" w:rsidRPr="004E72FC" w:rsidRDefault="006F0DAD" w:rsidP="006F0DAD">
      <w:pPr>
        <w:ind w:firstLine="709"/>
        <w:contextualSpacing/>
        <w:jc w:val="both"/>
      </w:pPr>
      <w:r w:rsidRPr="004E72FC">
        <w:t>Поставка Товара осуществляется в соответствии с выбором Получателей:</w:t>
      </w:r>
    </w:p>
    <w:p w:rsidR="006F0DAD" w:rsidRPr="004E72FC" w:rsidRDefault="006F0DAD" w:rsidP="006F0DAD">
      <w:pPr>
        <w:ind w:firstLine="709"/>
        <w:contextualSpacing/>
        <w:jc w:val="both"/>
      </w:pPr>
      <w:r w:rsidRPr="004E72FC">
        <w:t xml:space="preserve">1. По месту нахождения пунктов выдачи, организованных Поставщиком, в день обращения Получателя, но </w:t>
      </w:r>
      <w:r w:rsidRPr="004E72FC">
        <w:rPr>
          <w:b/>
        </w:rPr>
        <w:t>до 30.03.2023 года</w:t>
      </w:r>
      <w:r w:rsidRPr="004E72FC">
        <w:t>: Пункты выдачи должны быть организованы Поставщиком в г. Сургут. Дополнительные пункты выдачи, по согласованию с Заказчиком, могут быть организованы в иных городах и населенных пунктах Ханты-Мансийского автономного округа по выбору Поставщика.</w:t>
      </w:r>
    </w:p>
    <w:p w:rsidR="006F0DAD" w:rsidRPr="004E72FC" w:rsidRDefault="006F0DAD" w:rsidP="006F0DAD">
      <w:pPr>
        <w:tabs>
          <w:tab w:val="left" w:pos="1200"/>
        </w:tabs>
        <w:ind w:firstLine="702"/>
        <w:contextualSpacing/>
        <w:jc w:val="both"/>
      </w:pPr>
      <w:r w:rsidRPr="004E72FC">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F0DAD" w:rsidRPr="004E72FC" w:rsidRDefault="006F0DAD" w:rsidP="006F0DAD">
      <w:pPr>
        <w:tabs>
          <w:tab w:val="left" w:pos="1200"/>
        </w:tabs>
        <w:ind w:firstLine="702"/>
        <w:contextualSpacing/>
        <w:jc w:val="both"/>
      </w:pPr>
      <w:r w:rsidRPr="004E72FC">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6F0DAD" w:rsidRPr="004E72FC" w:rsidRDefault="006F0DAD" w:rsidP="006F0DAD">
      <w:pPr>
        <w:contextualSpacing/>
        <w:jc w:val="both"/>
      </w:pPr>
      <w:r w:rsidRPr="004E72FC">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4E72FC">
        <w:rPr>
          <w:b/>
        </w:rPr>
        <w:t>до 30.03.2023 года:</w:t>
      </w:r>
      <w:r w:rsidRPr="004E72FC">
        <w:t xml:space="preserve"> на всей территории Ханты-Мансийского автономного округа.</w:t>
      </w:r>
    </w:p>
    <w:p w:rsidR="006F0DAD" w:rsidRPr="004E72FC" w:rsidRDefault="006F0DAD" w:rsidP="006F0DAD">
      <w:pPr>
        <w:keepNext/>
        <w:keepLines/>
        <w:autoSpaceDE w:val="0"/>
        <w:ind w:firstLine="720"/>
        <w:contextualSpacing/>
        <w:jc w:val="both"/>
      </w:pPr>
      <w:r w:rsidRPr="004E72FC">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6F0DAD" w:rsidRPr="004E72FC" w:rsidRDefault="006F0DAD" w:rsidP="006F0DAD">
      <w:pPr>
        <w:keepNext/>
        <w:keepLines/>
        <w:autoSpaceDE w:val="0"/>
        <w:ind w:firstLine="720"/>
        <w:contextualSpacing/>
        <w:jc w:val="both"/>
      </w:pPr>
      <w:r w:rsidRPr="004E72FC">
        <w:t>Параметры изделий,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w:t>
      </w:r>
    </w:p>
    <w:p w:rsidR="006F0DAD" w:rsidRPr="004E72FC" w:rsidRDefault="006F0DAD" w:rsidP="006F0DAD">
      <w:pPr>
        <w:widowControl w:val="0"/>
        <w:tabs>
          <w:tab w:val="left" w:pos="708"/>
        </w:tabs>
        <w:suppressAutoHyphens/>
        <w:autoSpaceDE w:val="0"/>
        <w:autoSpaceDN w:val="0"/>
        <w:ind w:firstLine="709"/>
        <w:contextualSpacing/>
        <w:jc w:val="right"/>
        <w:textAlignment w:val="baseline"/>
        <w:rPr>
          <w:rFonts w:eastAsia="Lucida Sans Unicode"/>
          <w:b/>
          <w:kern w:val="1"/>
          <w:sz w:val="28"/>
          <w:szCs w:val="28"/>
          <w:lang w:eastAsia="ar-SA"/>
        </w:rPr>
      </w:pPr>
    </w:p>
    <w:p w:rsidR="006F0DAD" w:rsidRPr="004E72FC" w:rsidRDefault="006F0DAD" w:rsidP="006F0DAD">
      <w:pPr>
        <w:widowControl w:val="0"/>
        <w:tabs>
          <w:tab w:val="left" w:pos="708"/>
        </w:tabs>
        <w:suppressAutoHyphens/>
        <w:autoSpaceDE w:val="0"/>
        <w:autoSpaceDN w:val="0"/>
        <w:ind w:firstLine="709"/>
        <w:contextualSpacing/>
        <w:jc w:val="center"/>
        <w:textAlignment w:val="baseline"/>
        <w:rPr>
          <w:rFonts w:eastAsia="Lucida Sans Unicode"/>
          <w:b/>
          <w:kern w:val="3"/>
        </w:rPr>
      </w:pPr>
      <w:r w:rsidRPr="004E72FC">
        <w:rPr>
          <w:rFonts w:eastAsia="Lucida Sans Unicode"/>
          <w:b/>
          <w:kern w:val="3"/>
        </w:rPr>
        <w:lastRenderedPageBreak/>
        <w:t>Наименование, характеристики и количество поставляемых товаров</w:t>
      </w:r>
    </w:p>
    <w:p w:rsidR="006F0DAD" w:rsidRPr="004E72FC" w:rsidRDefault="006F0DAD" w:rsidP="006F0DAD">
      <w:pPr>
        <w:pStyle w:val="ConsPlusNormal"/>
        <w:keepNext/>
        <w:keepLines/>
        <w:contextualSpacing/>
        <w:jc w:val="both"/>
        <w:rPr>
          <w:rFonts w:ascii="Times New Roman" w:hAnsi="Times New Roman" w:cs="Times New Roman"/>
        </w:rPr>
      </w:pPr>
      <w:r w:rsidRPr="004E72FC">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ED2E67" w:rsidRDefault="00ED2E67" w:rsidP="009A4C9B">
      <w:pPr>
        <w:spacing w:after="160" w:line="259" w:lineRule="auto"/>
        <w:jc w:val="both"/>
      </w:pPr>
    </w:p>
    <w:p w:rsidR="00864824" w:rsidRDefault="00864824" w:rsidP="009A4C9B">
      <w:pPr>
        <w:spacing w:after="160" w:line="259" w:lineRule="auto"/>
        <w:jc w:val="both"/>
      </w:pPr>
    </w:p>
    <w:p w:rsidR="00864824" w:rsidRDefault="00864824"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6F0DA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86" w:rsidRDefault="00490486" w:rsidP="00D7115C">
      <w:r>
        <w:separator/>
      </w:r>
    </w:p>
  </w:endnote>
  <w:endnote w:type="continuationSeparator" w:id="0">
    <w:p w:rsidR="00490486" w:rsidRDefault="00490486"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86" w:rsidRDefault="00490486" w:rsidP="00D7115C">
      <w:r>
        <w:separator/>
      </w:r>
    </w:p>
  </w:footnote>
  <w:footnote w:type="continuationSeparator" w:id="0">
    <w:p w:rsidR="00490486" w:rsidRDefault="00490486"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36B54"/>
    <w:rsid w:val="00386012"/>
    <w:rsid w:val="003B2511"/>
    <w:rsid w:val="003D486E"/>
    <w:rsid w:val="004234B4"/>
    <w:rsid w:val="00423BFC"/>
    <w:rsid w:val="00427C62"/>
    <w:rsid w:val="00450CFE"/>
    <w:rsid w:val="004528B9"/>
    <w:rsid w:val="004566F9"/>
    <w:rsid w:val="00457089"/>
    <w:rsid w:val="0046492C"/>
    <w:rsid w:val="004667AA"/>
    <w:rsid w:val="00466F6A"/>
    <w:rsid w:val="00467E3B"/>
    <w:rsid w:val="00490486"/>
    <w:rsid w:val="004D26DF"/>
    <w:rsid w:val="004D497F"/>
    <w:rsid w:val="004F2140"/>
    <w:rsid w:val="00523837"/>
    <w:rsid w:val="0057542D"/>
    <w:rsid w:val="00585EDA"/>
    <w:rsid w:val="00592CAF"/>
    <w:rsid w:val="005935A0"/>
    <w:rsid w:val="005D4418"/>
    <w:rsid w:val="005E0778"/>
    <w:rsid w:val="005F6042"/>
    <w:rsid w:val="006132F7"/>
    <w:rsid w:val="00632245"/>
    <w:rsid w:val="00655312"/>
    <w:rsid w:val="006E787B"/>
    <w:rsid w:val="006F0DAD"/>
    <w:rsid w:val="006F61BD"/>
    <w:rsid w:val="00706EF7"/>
    <w:rsid w:val="007214BD"/>
    <w:rsid w:val="007A5900"/>
    <w:rsid w:val="007C105E"/>
    <w:rsid w:val="007F2A0B"/>
    <w:rsid w:val="0082620C"/>
    <w:rsid w:val="0084505E"/>
    <w:rsid w:val="008475AC"/>
    <w:rsid w:val="00852E8C"/>
    <w:rsid w:val="00864824"/>
    <w:rsid w:val="00890985"/>
    <w:rsid w:val="008A00DE"/>
    <w:rsid w:val="008A35F0"/>
    <w:rsid w:val="008A7C1F"/>
    <w:rsid w:val="008F2AD3"/>
    <w:rsid w:val="009226AD"/>
    <w:rsid w:val="009A4C9B"/>
    <w:rsid w:val="009B3E5B"/>
    <w:rsid w:val="009B48C4"/>
    <w:rsid w:val="009B63B2"/>
    <w:rsid w:val="00A33FAD"/>
    <w:rsid w:val="00A520C7"/>
    <w:rsid w:val="00A94ADA"/>
    <w:rsid w:val="00AC04AF"/>
    <w:rsid w:val="00AF1D6E"/>
    <w:rsid w:val="00B14F09"/>
    <w:rsid w:val="00B201AE"/>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46F"/>
    <w:rsid w:val="00CE7DFC"/>
    <w:rsid w:val="00CF08BB"/>
    <w:rsid w:val="00CF42D3"/>
    <w:rsid w:val="00D01082"/>
    <w:rsid w:val="00D23661"/>
    <w:rsid w:val="00D7115C"/>
    <w:rsid w:val="00D8164D"/>
    <w:rsid w:val="00D84C03"/>
    <w:rsid w:val="00D865A8"/>
    <w:rsid w:val="00DC4D5C"/>
    <w:rsid w:val="00E04E09"/>
    <w:rsid w:val="00E21973"/>
    <w:rsid w:val="00E3009F"/>
    <w:rsid w:val="00E35808"/>
    <w:rsid w:val="00E95858"/>
    <w:rsid w:val="00ED0360"/>
    <w:rsid w:val="00ED2E67"/>
    <w:rsid w:val="00ED4626"/>
    <w:rsid w:val="00EE544A"/>
    <w:rsid w:val="00EF45D9"/>
    <w:rsid w:val="00F15338"/>
    <w:rsid w:val="00F226A3"/>
    <w:rsid w:val="00F23211"/>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79</cp:revision>
  <dcterms:created xsi:type="dcterms:W3CDTF">2020-08-12T05:43:00Z</dcterms:created>
  <dcterms:modified xsi:type="dcterms:W3CDTF">2022-12-22T11:34:00Z</dcterms:modified>
</cp:coreProperties>
</file>