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B" w:rsidRDefault="00616779" w:rsidP="0083513B">
      <w:pPr>
        <w:jc w:val="center"/>
        <w:rPr>
          <w:b/>
          <w:bCs/>
        </w:rPr>
      </w:pPr>
      <w:r>
        <w:rPr>
          <w:b/>
          <w:bCs/>
        </w:rPr>
        <w:t>Описание объекта закупки</w:t>
      </w:r>
    </w:p>
    <w:p w:rsidR="00DA4205" w:rsidRPr="000B79E8" w:rsidRDefault="00DA4205" w:rsidP="0083513B">
      <w:pPr>
        <w:jc w:val="center"/>
        <w:rPr>
          <w:b/>
          <w:bCs/>
        </w:rPr>
      </w:pPr>
    </w:p>
    <w:p w:rsidR="00247180" w:rsidRDefault="00D33645" w:rsidP="00D33645">
      <w:pPr>
        <w:pStyle w:val="aa"/>
        <w:jc w:val="both"/>
        <w:rPr>
          <w:rStyle w:val="ng-binding"/>
          <w:sz w:val="24"/>
          <w:szCs w:val="24"/>
        </w:rPr>
      </w:pPr>
      <w:r>
        <w:rPr>
          <w:b/>
          <w:bCs/>
          <w:sz w:val="24"/>
          <w:szCs w:val="24"/>
        </w:rPr>
        <w:tab/>
      </w:r>
      <w:r w:rsidR="008017D6" w:rsidRPr="008017D6">
        <w:rPr>
          <w:bCs/>
          <w:sz w:val="24"/>
          <w:szCs w:val="24"/>
        </w:rPr>
        <w:t>Наименование объекта закупки:</w:t>
      </w:r>
      <w:r w:rsidR="008017D6">
        <w:rPr>
          <w:b/>
          <w:bCs/>
          <w:sz w:val="24"/>
          <w:szCs w:val="24"/>
        </w:rPr>
        <w:t xml:space="preserve"> </w:t>
      </w:r>
      <w:r w:rsidR="008017D6" w:rsidRPr="008017D6">
        <w:rPr>
          <w:rStyle w:val="ng-binding"/>
          <w:sz w:val="24"/>
          <w:szCs w:val="24"/>
        </w:rPr>
        <w:t>Выполнение работ по изготовлению протеза бедра модульного с микропроцессорным управлением для обеспечения застрахованного лица, получившего повреждение здоровья вследствие несчастного случая на производстве</w:t>
      </w:r>
      <w:r w:rsidR="008017D6" w:rsidRPr="008017D6">
        <w:rPr>
          <w:rStyle w:val="ng-binding"/>
          <w:sz w:val="24"/>
          <w:szCs w:val="24"/>
        </w:rPr>
        <w:t>.</w:t>
      </w:r>
    </w:p>
    <w:p w:rsidR="008017D6" w:rsidRPr="008017D6" w:rsidRDefault="008017D6" w:rsidP="00D33645">
      <w:pPr>
        <w:pStyle w:val="aa"/>
        <w:jc w:val="both"/>
        <w:rPr>
          <w:sz w:val="24"/>
          <w:szCs w:val="24"/>
        </w:rPr>
      </w:pPr>
    </w:p>
    <w:p w:rsidR="00576A6A" w:rsidRPr="00576A6A" w:rsidRDefault="00B445D7" w:rsidP="00B445D7">
      <w:pPr>
        <w:keepNext/>
        <w:widowControl w:val="0"/>
        <w:ind w:firstLine="708"/>
        <w:jc w:val="both"/>
        <w:rPr>
          <w:u w:val="single"/>
        </w:rPr>
      </w:pPr>
      <w:r w:rsidRPr="00DA47F5">
        <w:rPr>
          <w:u w:val="single"/>
        </w:rPr>
        <w:t>Значения всех показателей не могут изменяться, максимальные и (или) минимальные значения показателей не установлены.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50"/>
        <w:gridCol w:w="1730"/>
        <w:gridCol w:w="992"/>
      </w:tblGrid>
      <w:tr w:rsidR="004D08CA" w:rsidRPr="004B03B3" w:rsidTr="008017D6">
        <w:tc>
          <w:tcPr>
            <w:tcW w:w="567" w:type="dxa"/>
            <w:vMerge w:val="restart"/>
            <w:shd w:val="clear" w:color="auto" w:fill="auto"/>
            <w:vAlign w:val="center"/>
          </w:tcPr>
          <w:p w:rsidR="004D08CA" w:rsidRPr="004B03B3" w:rsidRDefault="004D08CA" w:rsidP="006F5246">
            <w:pPr>
              <w:rPr>
                <w:rFonts w:eastAsia="Calibri"/>
                <w:b/>
                <w:sz w:val="22"/>
                <w:szCs w:val="22"/>
              </w:rPr>
            </w:pPr>
            <w:r w:rsidRPr="004B03B3">
              <w:rPr>
                <w:rFonts w:eastAsia="Calibri"/>
                <w:b/>
                <w:sz w:val="22"/>
                <w:szCs w:val="22"/>
              </w:rPr>
              <w:t>№ п/п</w:t>
            </w:r>
          </w:p>
        </w:tc>
        <w:tc>
          <w:tcPr>
            <w:tcW w:w="6350" w:type="dxa"/>
            <w:vMerge w:val="restart"/>
            <w:shd w:val="clear" w:color="auto" w:fill="auto"/>
            <w:vAlign w:val="center"/>
          </w:tcPr>
          <w:p w:rsidR="004D08CA" w:rsidRPr="004B03B3" w:rsidRDefault="004D08CA" w:rsidP="006F5246">
            <w:pPr>
              <w:tabs>
                <w:tab w:val="left" w:pos="3044"/>
              </w:tabs>
              <w:rPr>
                <w:rFonts w:eastAsia="Calibri"/>
                <w:b/>
                <w:sz w:val="22"/>
                <w:szCs w:val="22"/>
              </w:rPr>
            </w:pPr>
            <w:r w:rsidRPr="004B03B3">
              <w:rPr>
                <w:rFonts w:eastAsia="Calibri"/>
                <w:b/>
                <w:sz w:val="22"/>
                <w:szCs w:val="22"/>
              </w:rPr>
              <w:t>Функциональные, технические, качественные, эксплуатационные характеристики изготавливаемого изделия; описание работ</w:t>
            </w:r>
          </w:p>
        </w:tc>
        <w:tc>
          <w:tcPr>
            <w:tcW w:w="2722" w:type="dxa"/>
            <w:gridSpan w:val="2"/>
            <w:shd w:val="clear" w:color="auto" w:fill="auto"/>
            <w:vAlign w:val="center"/>
          </w:tcPr>
          <w:p w:rsidR="004D08CA" w:rsidRPr="004B03B3" w:rsidRDefault="004D08CA" w:rsidP="006F5246">
            <w:pPr>
              <w:rPr>
                <w:rFonts w:eastAsia="Calibri"/>
                <w:b/>
                <w:sz w:val="22"/>
                <w:szCs w:val="22"/>
                <w:lang w:val="en-US"/>
              </w:rPr>
            </w:pPr>
            <w:r w:rsidRPr="004B03B3">
              <w:rPr>
                <w:rFonts w:eastAsia="Calibri"/>
                <w:b/>
                <w:sz w:val="22"/>
                <w:szCs w:val="22"/>
              </w:rPr>
              <w:t>Результат работ</w:t>
            </w:r>
          </w:p>
        </w:tc>
      </w:tr>
      <w:tr w:rsidR="004D08CA" w:rsidRPr="004B03B3" w:rsidTr="008017D6">
        <w:tc>
          <w:tcPr>
            <w:tcW w:w="567" w:type="dxa"/>
            <w:vMerge/>
            <w:shd w:val="clear" w:color="auto" w:fill="auto"/>
            <w:vAlign w:val="center"/>
          </w:tcPr>
          <w:p w:rsidR="004D08CA" w:rsidRPr="004B03B3" w:rsidRDefault="004D08CA" w:rsidP="006F5246">
            <w:pPr>
              <w:rPr>
                <w:rFonts w:eastAsia="Calibri"/>
                <w:b/>
                <w:sz w:val="22"/>
                <w:szCs w:val="22"/>
              </w:rPr>
            </w:pPr>
          </w:p>
        </w:tc>
        <w:tc>
          <w:tcPr>
            <w:tcW w:w="6350" w:type="dxa"/>
            <w:vMerge/>
            <w:shd w:val="clear" w:color="auto" w:fill="auto"/>
            <w:vAlign w:val="center"/>
          </w:tcPr>
          <w:p w:rsidR="004D08CA" w:rsidRPr="004B03B3" w:rsidRDefault="004D08CA" w:rsidP="006F5246">
            <w:pPr>
              <w:rPr>
                <w:rFonts w:eastAsia="Calibri"/>
                <w:b/>
                <w:sz w:val="22"/>
                <w:szCs w:val="22"/>
                <w:lang w:val="en-US"/>
              </w:rPr>
            </w:pPr>
          </w:p>
        </w:tc>
        <w:tc>
          <w:tcPr>
            <w:tcW w:w="1730" w:type="dxa"/>
            <w:shd w:val="clear" w:color="auto" w:fill="auto"/>
            <w:vAlign w:val="center"/>
          </w:tcPr>
          <w:p w:rsidR="004D08CA" w:rsidRPr="004B03B3" w:rsidRDefault="004D08CA" w:rsidP="006F5246">
            <w:pPr>
              <w:rPr>
                <w:rFonts w:eastAsia="Calibri"/>
                <w:b/>
                <w:sz w:val="22"/>
                <w:szCs w:val="22"/>
              </w:rPr>
            </w:pPr>
            <w:r w:rsidRPr="004B03B3">
              <w:rPr>
                <w:rFonts w:eastAsia="Calibri"/>
                <w:b/>
                <w:sz w:val="22"/>
                <w:szCs w:val="22"/>
              </w:rPr>
              <w:t>Наименование</w:t>
            </w:r>
          </w:p>
          <w:p w:rsidR="004D08CA" w:rsidRPr="004B03B3" w:rsidRDefault="004D08CA" w:rsidP="006F5246">
            <w:pPr>
              <w:rPr>
                <w:rFonts w:eastAsia="Calibri"/>
                <w:b/>
                <w:sz w:val="22"/>
                <w:szCs w:val="22"/>
              </w:rPr>
            </w:pPr>
            <w:r w:rsidRPr="004B03B3">
              <w:rPr>
                <w:rFonts w:eastAsia="Calibri"/>
                <w:b/>
                <w:sz w:val="22"/>
                <w:szCs w:val="22"/>
              </w:rPr>
              <w:t>изделия</w:t>
            </w:r>
          </w:p>
        </w:tc>
        <w:tc>
          <w:tcPr>
            <w:tcW w:w="992" w:type="dxa"/>
            <w:shd w:val="clear" w:color="auto" w:fill="auto"/>
            <w:vAlign w:val="center"/>
          </w:tcPr>
          <w:p w:rsidR="004D08CA" w:rsidRPr="004B03B3" w:rsidRDefault="004D08CA" w:rsidP="006F5246">
            <w:pPr>
              <w:rPr>
                <w:rFonts w:eastAsia="Calibri"/>
                <w:b/>
                <w:sz w:val="22"/>
                <w:szCs w:val="22"/>
              </w:rPr>
            </w:pPr>
            <w:r w:rsidRPr="004B03B3">
              <w:rPr>
                <w:rFonts w:eastAsia="Calibri"/>
                <w:b/>
                <w:sz w:val="22"/>
                <w:szCs w:val="22"/>
              </w:rPr>
              <w:t>Количество (шт.)</w:t>
            </w:r>
          </w:p>
        </w:tc>
      </w:tr>
      <w:tr w:rsidR="004D08CA" w:rsidRPr="004B03B3" w:rsidTr="008017D6">
        <w:tc>
          <w:tcPr>
            <w:tcW w:w="567" w:type="dxa"/>
            <w:shd w:val="clear" w:color="auto" w:fill="auto"/>
          </w:tcPr>
          <w:p w:rsidR="004D08CA" w:rsidRPr="004B03B3" w:rsidRDefault="004D08CA" w:rsidP="006F5246">
            <w:pPr>
              <w:rPr>
                <w:rFonts w:eastAsia="Calibri"/>
                <w:sz w:val="22"/>
                <w:szCs w:val="22"/>
                <w:lang w:val="en-US"/>
              </w:rPr>
            </w:pPr>
            <w:r w:rsidRPr="004B03B3">
              <w:rPr>
                <w:rFonts w:eastAsia="Calibri"/>
                <w:sz w:val="22"/>
                <w:szCs w:val="22"/>
                <w:lang w:val="en-US"/>
              </w:rPr>
              <w:t>1</w:t>
            </w:r>
          </w:p>
        </w:tc>
        <w:tc>
          <w:tcPr>
            <w:tcW w:w="6350" w:type="dxa"/>
            <w:shd w:val="clear" w:color="auto" w:fill="auto"/>
          </w:tcPr>
          <w:p w:rsidR="004D08CA" w:rsidRPr="004B03B3" w:rsidRDefault="004D08CA" w:rsidP="006F5246">
            <w:pPr>
              <w:jc w:val="both"/>
              <w:rPr>
                <w:sz w:val="22"/>
                <w:szCs w:val="22"/>
              </w:rPr>
            </w:pPr>
            <w:r w:rsidRPr="004B03B3">
              <w:rPr>
                <w:rFonts w:eastAsia="Calibri"/>
                <w:sz w:val="22"/>
                <w:szCs w:val="22"/>
              </w:rPr>
              <w:t xml:space="preserve">Протез изготавливается по слепку с культи инвалида. Приемная гильза протеза индивидуальная. Гильза изготовлена из слоистого пластика на основе акриловых смол. Применение двух примерочных гильз, которые изготовлены из листового термопласта. Допускается применение вкладных гильз, изготовленных из вспененных материалов или эластичных термопластов. Крепление вакуумное или с использованием силиконового чехла с замком. Микропроцессорный коленный модуль с внешним источником энергии. Одноосный с гидроцилиндром, отвечающим за автоматически подстраиваемый темп ходьбы и обеспечивающий в автоматическом режиме устойчивость, с микропроцессорным управлением фазами переноса и опоры.  </w:t>
            </w:r>
            <w:proofErr w:type="spellStart"/>
            <w:r w:rsidRPr="004B03B3">
              <w:rPr>
                <w:rFonts w:eastAsia="Calibri"/>
                <w:sz w:val="22"/>
                <w:szCs w:val="22"/>
              </w:rPr>
              <w:t>Сверхударопрочный</w:t>
            </w:r>
            <w:proofErr w:type="spellEnd"/>
            <w:r w:rsidRPr="004B03B3">
              <w:rPr>
                <w:rFonts w:eastAsia="Calibri"/>
                <w:sz w:val="22"/>
                <w:szCs w:val="22"/>
              </w:rPr>
              <w:t xml:space="preserve"> корпус. Обладает повышенной влагостойкостью. Наличие класса защиты не ниже </w:t>
            </w:r>
            <w:r w:rsidRPr="004B03B3">
              <w:rPr>
                <w:rFonts w:eastAsia="Calibri"/>
                <w:sz w:val="22"/>
                <w:szCs w:val="22"/>
                <w:lang w:val="en-US"/>
              </w:rPr>
              <w:t>IP</w:t>
            </w:r>
            <w:r w:rsidRPr="004B03B3">
              <w:rPr>
                <w:rFonts w:eastAsia="Calibri"/>
                <w:sz w:val="22"/>
                <w:szCs w:val="22"/>
              </w:rPr>
              <w:t xml:space="preserve"> 67. Смещенный центр тяжести. Угол сгибания: не менее 125</w:t>
            </w:r>
            <w:r w:rsidRPr="004B03B3">
              <w:rPr>
                <w:rFonts w:eastAsia="Calibri"/>
                <w:sz w:val="22"/>
                <w:szCs w:val="22"/>
                <w:vertAlign w:val="superscript"/>
              </w:rPr>
              <w:t>0</w:t>
            </w:r>
            <w:r w:rsidRPr="004B03B3">
              <w:rPr>
                <w:rFonts w:eastAsia="Calibri"/>
                <w:sz w:val="22"/>
                <w:szCs w:val="22"/>
              </w:rPr>
              <w:t xml:space="preserve">. Время реакции микропроцессора не более 10 </w:t>
            </w:r>
            <w:proofErr w:type="spellStart"/>
            <w:r w:rsidRPr="004B03B3">
              <w:rPr>
                <w:rFonts w:eastAsia="Calibri"/>
                <w:sz w:val="22"/>
                <w:szCs w:val="22"/>
              </w:rPr>
              <w:t>Мс</w:t>
            </w:r>
            <w:proofErr w:type="spellEnd"/>
            <w:r w:rsidRPr="004B03B3">
              <w:rPr>
                <w:rFonts w:eastAsia="Calibri"/>
                <w:sz w:val="22"/>
                <w:szCs w:val="22"/>
              </w:rPr>
              <w:t xml:space="preserve">. Возможность замены аккумулятора самостоятельно пользователем, непосредственно в протезе, при ходьбе. Внешний источник энергии – съемный перезаряжаемый литиевый аккумулятор.  </w:t>
            </w:r>
            <w:proofErr w:type="spellStart"/>
            <w:r w:rsidRPr="004B03B3">
              <w:rPr>
                <w:rFonts w:eastAsia="Calibri"/>
                <w:sz w:val="22"/>
                <w:szCs w:val="22"/>
              </w:rPr>
              <w:t>Сверхударопрочный</w:t>
            </w:r>
            <w:proofErr w:type="spellEnd"/>
            <w:r w:rsidRPr="004B03B3">
              <w:rPr>
                <w:rFonts w:eastAsia="Calibri"/>
                <w:sz w:val="22"/>
                <w:szCs w:val="22"/>
              </w:rPr>
              <w:t xml:space="preserve"> корпус. Защита  аккумулятора от попадания грязи и пыли.  Возможность смены обтекателя. Карбоновая стопа высокой степени энергосбережения.  Полноразмерная карбоновая стелька обеспечивает мягкий перекат и плавную походку. Непрерывная длина волокна и отсутствие болтовых соединений. Расщепленный носок и пятка стопы обеспечивает высокий уровень инверсии/</w:t>
            </w:r>
            <w:proofErr w:type="spellStart"/>
            <w:r w:rsidRPr="004B03B3">
              <w:rPr>
                <w:rFonts w:eastAsia="Calibri"/>
                <w:sz w:val="22"/>
                <w:szCs w:val="22"/>
              </w:rPr>
              <w:t>эверсии</w:t>
            </w:r>
            <w:proofErr w:type="spellEnd"/>
            <w:r w:rsidRPr="004B03B3">
              <w:rPr>
                <w:rFonts w:eastAsia="Calibri"/>
                <w:sz w:val="22"/>
                <w:szCs w:val="22"/>
              </w:rPr>
              <w:t>. Тип протеза постоянный.</w:t>
            </w:r>
          </w:p>
        </w:tc>
        <w:tc>
          <w:tcPr>
            <w:tcW w:w="1730" w:type="dxa"/>
            <w:shd w:val="clear" w:color="auto" w:fill="auto"/>
          </w:tcPr>
          <w:p w:rsidR="004D08CA" w:rsidRPr="004B03B3" w:rsidRDefault="004D08CA" w:rsidP="006F5246">
            <w:pPr>
              <w:rPr>
                <w:rFonts w:eastAsia="Calibri"/>
                <w:sz w:val="22"/>
                <w:szCs w:val="22"/>
              </w:rPr>
            </w:pPr>
            <w:r w:rsidRPr="004B03B3">
              <w:rPr>
                <w:rStyle w:val="ng-binding"/>
                <w:rFonts w:eastAsia="Calibri"/>
                <w:sz w:val="22"/>
                <w:szCs w:val="22"/>
              </w:rPr>
              <w:t>Протез бедра модульный с микропроцессорным управлением</w:t>
            </w:r>
            <w:r w:rsidRPr="004B03B3">
              <w:rPr>
                <w:rFonts w:eastAsia="Calibri"/>
                <w:sz w:val="22"/>
                <w:szCs w:val="22"/>
              </w:rPr>
              <w:t xml:space="preserve"> </w:t>
            </w:r>
          </w:p>
          <w:p w:rsidR="004D08CA" w:rsidRPr="004B03B3" w:rsidRDefault="004D08CA" w:rsidP="006F5246">
            <w:pPr>
              <w:rPr>
                <w:rFonts w:eastAsia="Calibri"/>
                <w:sz w:val="22"/>
                <w:szCs w:val="22"/>
              </w:rPr>
            </w:pPr>
          </w:p>
          <w:p w:rsidR="004D08CA" w:rsidRPr="004B03B3" w:rsidRDefault="004D08CA" w:rsidP="006F5246">
            <w:pPr>
              <w:rPr>
                <w:rFonts w:eastAsia="Calibri"/>
                <w:sz w:val="22"/>
                <w:szCs w:val="22"/>
              </w:rPr>
            </w:pPr>
          </w:p>
        </w:tc>
        <w:tc>
          <w:tcPr>
            <w:tcW w:w="992" w:type="dxa"/>
            <w:shd w:val="clear" w:color="auto" w:fill="auto"/>
          </w:tcPr>
          <w:p w:rsidR="004D08CA" w:rsidRPr="004B03B3" w:rsidRDefault="004D08CA" w:rsidP="006F5246">
            <w:pPr>
              <w:jc w:val="center"/>
              <w:rPr>
                <w:rFonts w:eastAsia="Calibri"/>
                <w:sz w:val="22"/>
                <w:szCs w:val="22"/>
              </w:rPr>
            </w:pPr>
            <w:bookmarkStart w:id="0" w:name="_GoBack"/>
            <w:bookmarkEnd w:id="0"/>
            <w:r w:rsidRPr="004B03B3">
              <w:rPr>
                <w:rFonts w:eastAsia="Calibri"/>
                <w:sz w:val="22"/>
                <w:szCs w:val="22"/>
              </w:rPr>
              <w:t>1</w:t>
            </w:r>
          </w:p>
        </w:tc>
      </w:tr>
    </w:tbl>
    <w:p w:rsidR="00C0433E" w:rsidRPr="00C0433E" w:rsidRDefault="00C0433E" w:rsidP="007D52B1"/>
    <w:p w:rsidR="004D08CA" w:rsidRPr="00CB08C6" w:rsidRDefault="003C38BD" w:rsidP="004D08CA">
      <w:pPr>
        <w:jc w:val="both"/>
        <w:rPr>
          <w:bCs/>
        </w:rPr>
      </w:pPr>
      <w:r>
        <w:tab/>
      </w:r>
      <w:r w:rsidR="004D08CA" w:rsidRPr="00CB08C6">
        <w:t>Срок пользования изделиями устанавливается в соответствии с Приказом Минтруда России от 05.03.2021 г. № 107н «Об утверждении сроков пользования техническими средствами реабилитации, протезами и протезно-ортопедическими изделиями».</w:t>
      </w:r>
    </w:p>
    <w:p w:rsidR="004D08CA" w:rsidRPr="00CB08C6" w:rsidRDefault="004D08CA" w:rsidP="004D08CA">
      <w:pPr>
        <w:jc w:val="both"/>
        <w:rPr>
          <w:bCs/>
          <w:color w:val="000000"/>
        </w:rPr>
      </w:pPr>
      <w:r w:rsidRPr="00CB08C6">
        <w:rPr>
          <w:bCs/>
        </w:rPr>
        <w:tab/>
        <w:t xml:space="preserve">Выполняемые работы и их результат должны соответствовать действующим требованиям Межгосударственных стандартов </w:t>
      </w:r>
      <w:r w:rsidRPr="00CB08C6">
        <w:rPr>
          <w:bCs/>
          <w:color w:val="000000"/>
        </w:rPr>
        <w:t xml:space="preserve">ГОСТ </w:t>
      </w:r>
      <w:r w:rsidRPr="00CB08C6">
        <w:rPr>
          <w:bCs/>
          <w:color w:val="000000"/>
          <w:lang w:val="en-US"/>
        </w:rPr>
        <w:t>ISO</w:t>
      </w:r>
      <w:r w:rsidRPr="00CB08C6">
        <w:rPr>
          <w:bCs/>
          <w:color w:val="000000"/>
        </w:rPr>
        <w:t xml:space="preserve"> 10993-1-2021 «Изделия медицинские. Оценка биологического действия медицинских изделий. Часть 1. Оценка и исследования в процессе менеджмента риска»</w:t>
      </w:r>
      <w:r w:rsidRPr="00CB08C6">
        <w:rPr>
          <w:bCs/>
        </w:rPr>
        <w:t xml:space="preserve">, </w:t>
      </w:r>
      <w:r w:rsidRPr="00CB08C6">
        <w:rPr>
          <w:bCs/>
          <w:color w:val="000000"/>
        </w:rPr>
        <w:t xml:space="preserve">ГОСТ </w:t>
      </w:r>
      <w:r w:rsidRPr="00CB08C6">
        <w:rPr>
          <w:bCs/>
          <w:color w:val="000000"/>
          <w:lang w:val="en-US"/>
        </w:rPr>
        <w:t>ISO</w:t>
      </w:r>
      <w:r w:rsidRPr="00CB08C6">
        <w:rPr>
          <w:bCs/>
          <w:color w:val="000000"/>
        </w:rPr>
        <w:t xml:space="preserve"> 10993-5-2011 «Изделия медицинские. Оценка биологического действия медицинских изделий. Часть 5. Исследования на </w:t>
      </w:r>
      <w:proofErr w:type="spellStart"/>
      <w:r w:rsidRPr="00CB08C6">
        <w:rPr>
          <w:bCs/>
          <w:color w:val="000000"/>
        </w:rPr>
        <w:t>цитотоксичность</w:t>
      </w:r>
      <w:proofErr w:type="spellEnd"/>
      <w:r w:rsidRPr="00CB08C6">
        <w:rPr>
          <w:bCs/>
          <w:color w:val="000000"/>
        </w:rPr>
        <w:t xml:space="preserve">: методы </w:t>
      </w:r>
      <w:proofErr w:type="spellStart"/>
      <w:r w:rsidRPr="00CB08C6">
        <w:rPr>
          <w:bCs/>
          <w:color w:val="000000"/>
        </w:rPr>
        <w:t>in</w:t>
      </w:r>
      <w:proofErr w:type="spellEnd"/>
      <w:r w:rsidRPr="00CB08C6">
        <w:rPr>
          <w:bCs/>
          <w:color w:val="000000"/>
        </w:rPr>
        <w:t xml:space="preserve"> </w:t>
      </w:r>
      <w:proofErr w:type="spellStart"/>
      <w:r w:rsidRPr="00CB08C6">
        <w:rPr>
          <w:bCs/>
          <w:color w:val="000000"/>
        </w:rPr>
        <w:t>vitro</w:t>
      </w:r>
      <w:proofErr w:type="spellEnd"/>
      <w:r w:rsidRPr="00CB08C6">
        <w:rPr>
          <w:bCs/>
          <w:color w:val="000000"/>
        </w:rPr>
        <w:t>»</w:t>
      </w:r>
      <w:r w:rsidRPr="00CB08C6">
        <w:rPr>
          <w:bCs/>
        </w:rPr>
        <w:t xml:space="preserve">, ГОСТ </w:t>
      </w:r>
      <w:r w:rsidRPr="00CB08C6">
        <w:rPr>
          <w:bCs/>
          <w:lang w:val="en-US"/>
        </w:rPr>
        <w:t>ISO</w:t>
      </w:r>
      <w:r w:rsidRPr="00CB08C6">
        <w:rPr>
          <w:bCs/>
        </w:rPr>
        <w:t xml:space="preserve"> 10993-10-2011 «Изделия медицинские. Оценка биологического действия медицинских изделий. Часть 10. Исследование раздражающего и сенсибилизирующего действия»; Национальных стандартов РФ </w:t>
      </w:r>
      <w:r w:rsidRPr="00CB08C6">
        <w:rPr>
          <w:bCs/>
          <w:color w:val="000000"/>
        </w:rPr>
        <w:t>ГОСТ Р 57765-2021 «Изделия протезно-ортопедические. Общие технические требования»</w:t>
      </w:r>
      <w:r w:rsidRPr="00CB08C6">
        <w:t>,</w:t>
      </w:r>
      <w:r w:rsidRPr="00CB08C6">
        <w:rPr>
          <w:bCs/>
        </w:rPr>
        <w:t xml:space="preserve"> ГОСТ</w:t>
      </w:r>
      <w:r>
        <w:rPr>
          <w:bCs/>
        </w:rPr>
        <w:t xml:space="preserve"> Р</w:t>
      </w:r>
      <w:r w:rsidRPr="00CB08C6">
        <w:rPr>
          <w:bCs/>
        </w:rPr>
        <w:t xml:space="preserve"> 56137-2021 «Протезирование и </w:t>
      </w:r>
      <w:proofErr w:type="spellStart"/>
      <w:r w:rsidRPr="00CB08C6">
        <w:rPr>
          <w:bCs/>
        </w:rPr>
        <w:t>ортезирование</w:t>
      </w:r>
      <w:proofErr w:type="spellEnd"/>
      <w:r w:rsidRPr="00CB08C6">
        <w:rPr>
          <w:bCs/>
        </w:rPr>
        <w:t xml:space="preserve">. Контроль качества протезов и </w:t>
      </w:r>
      <w:proofErr w:type="spellStart"/>
      <w:r w:rsidRPr="00CB08C6">
        <w:rPr>
          <w:bCs/>
        </w:rPr>
        <w:t>ортезов</w:t>
      </w:r>
      <w:proofErr w:type="spellEnd"/>
      <w:r w:rsidRPr="00CB08C6">
        <w:rPr>
          <w:bCs/>
        </w:rPr>
        <w:t xml:space="preserve"> верхних и нижних конечностей с индивидуальными параметрами изготовления»,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CB08C6">
        <w:rPr>
          <w:bCs/>
        </w:rPr>
        <w:t>ортезы</w:t>
      </w:r>
      <w:proofErr w:type="spellEnd"/>
      <w:r w:rsidRPr="00CB08C6">
        <w:rPr>
          <w:bCs/>
        </w:rPr>
        <w:t xml:space="preserve"> наружные. Требования и методы испытаний», ГОСТ Р 53869-2021 «Протезы нижних конечностей. Технические требования», ГОСТ Р 52770-2016 «Изделия медицинские. Требования безопасности. Методы санитарно-химических и токсикологических испытаний», </w:t>
      </w:r>
      <w:r w:rsidRPr="00CB08C6">
        <w:rPr>
          <w:bCs/>
          <w:color w:val="000000"/>
        </w:rPr>
        <w:t xml:space="preserve">ГОСТ Р ИСО 9999-2019 «Вспомогательные средства для людей с ограничениями жизнедеятельности. Классификация и терминология», ГОСТ Р 51819-2017 «Протезирование и </w:t>
      </w:r>
      <w:proofErr w:type="spellStart"/>
      <w:r w:rsidRPr="00CB08C6">
        <w:rPr>
          <w:bCs/>
          <w:color w:val="000000"/>
        </w:rPr>
        <w:t>ортезирование</w:t>
      </w:r>
      <w:proofErr w:type="spellEnd"/>
      <w:r w:rsidRPr="00CB08C6">
        <w:rPr>
          <w:bCs/>
          <w:color w:val="000000"/>
        </w:rPr>
        <w:t xml:space="preserve"> верхних и нижних конечностей. Термины и определения» (действует до 01.11.2022г.), ГОСТ Р 51819-2022 (действует с 01.11.2022г.), ГОСТ Р 53870-2021 </w:t>
      </w:r>
      <w:r w:rsidRPr="00CB08C6">
        <w:rPr>
          <w:bCs/>
          <w:color w:val="000000"/>
        </w:rPr>
        <w:lastRenderedPageBreak/>
        <w:t>«Реабилитационные мероприятия. Услуги по протезированию нижних конечностей. Состав, содержание и порядок предоставления услуг».</w:t>
      </w:r>
    </w:p>
    <w:p w:rsidR="004D08CA" w:rsidRPr="00CB08C6" w:rsidRDefault="004D08CA" w:rsidP="004D08CA">
      <w:pPr>
        <w:jc w:val="both"/>
        <w:rPr>
          <w:lang w:eastAsia="en-US"/>
        </w:rPr>
      </w:pPr>
      <w:r w:rsidRPr="00CB08C6">
        <w:rPr>
          <w:bCs/>
          <w:color w:val="000000"/>
        </w:rPr>
        <w:tab/>
      </w:r>
      <w:r w:rsidRPr="00CB08C6">
        <w:rPr>
          <w:lang w:eastAsia="en-US"/>
        </w:rPr>
        <w:t>Изделия не должны выделять при эксплуатации токсичных и агрессивных веществ.</w:t>
      </w:r>
    </w:p>
    <w:p w:rsidR="004D08CA" w:rsidRPr="00CB08C6" w:rsidRDefault="004D08CA" w:rsidP="004D08CA">
      <w:pPr>
        <w:jc w:val="both"/>
      </w:pPr>
      <w:r w:rsidRPr="00CB08C6">
        <w:tab/>
      </w:r>
      <w:r w:rsidRPr="00CB08C6">
        <w:rPr>
          <w:lang w:eastAsia="en-US"/>
        </w:rPr>
        <w:t>Изделия</w:t>
      </w:r>
      <w:r w:rsidRPr="00CB08C6">
        <w:t xml:space="preserve"> должны соответствовать требованиям безопасности для здоровья человека и санитарно-гигиеническим требованиям, предъявляемым к данному изделию. </w:t>
      </w:r>
    </w:p>
    <w:p w:rsidR="004D08CA" w:rsidRPr="00CB08C6" w:rsidRDefault="004D08CA" w:rsidP="004D08CA">
      <w:pPr>
        <w:jc w:val="both"/>
      </w:pPr>
      <w:r w:rsidRPr="00CB08C6">
        <w:tab/>
      </w:r>
      <w:r w:rsidRPr="00CB08C6">
        <w:rPr>
          <w:lang w:eastAsia="en-US"/>
        </w:rPr>
        <w:t>Изделия</w:t>
      </w:r>
      <w:r w:rsidRPr="00CB08C6">
        <w:t xml:space="preserve">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r w:rsidRPr="00CB08C6">
        <w:tab/>
      </w:r>
    </w:p>
    <w:p w:rsidR="004D08CA" w:rsidRPr="00CB08C6" w:rsidRDefault="004D08CA" w:rsidP="004D08CA">
      <w:pPr>
        <w:jc w:val="both"/>
      </w:pPr>
      <w:r w:rsidRPr="00CB08C6">
        <w:tab/>
        <w:t>-безопасность для кожных покровов;</w:t>
      </w:r>
    </w:p>
    <w:p w:rsidR="004D08CA" w:rsidRPr="00CB08C6" w:rsidRDefault="004D08CA" w:rsidP="004D08CA">
      <w:pPr>
        <w:jc w:val="both"/>
      </w:pPr>
      <w:r w:rsidRPr="00CB08C6">
        <w:tab/>
        <w:t>-комфортность;</w:t>
      </w:r>
    </w:p>
    <w:p w:rsidR="004D08CA" w:rsidRPr="00CB08C6" w:rsidRDefault="004D08CA" w:rsidP="004D08CA">
      <w:pPr>
        <w:ind w:firstLine="708"/>
        <w:jc w:val="both"/>
      </w:pPr>
      <w:r w:rsidRPr="00CB08C6">
        <w:t>-эстетичность;</w:t>
      </w:r>
    </w:p>
    <w:p w:rsidR="004D08CA" w:rsidRPr="00CB08C6" w:rsidRDefault="004D08CA" w:rsidP="004D08CA">
      <w:pPr>
        <w:jc w:val="both"/>
      </w:pPr>
      <w:r w:rsidRPr="00CB08C6">
        <w:tab/>
        <w:t>-простота пользования.</w:t>
      </w:r>
    </w:p>
    <w:p w:rsidR="000B79E8" w:rsidRPr="00D470EB" w:rsidRDefault="004D08CA" w:rsidP="004D08CA">
      <w:pPr>
        <w:jc w:val="both"/>
        <w:rPr>
          <w:lang w:eastAsia="ru-RU"/>
        </w:rPr>
      </w:pPr>
      <w:r w:rsidRPr="00CB08C6">
        <w:tab/>
        <w:t>Материалы, применяемые для изготовления и</w:t>
      </w:r>
      <w:r w:rsidRPr="00CB08C6">
        <w:rPr>
          <w:lang w:eastAsia="en-US"/>
        </w:rPr>
        <w:t>зделий</w:t>
      </w:r>
      <w:r w:rsidRPr="00CB08C6">
        <w:t>, не должны содержать ядовитых (токсичных) компонентов, а также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r w:rsidR="00673F3B" w:rsidRPr="00B6634E">
        <w:t>.</w:t>
      </w:r>
    </w:p>
    <w:p w:rsidR="000B79E8" w:rsidRPr="00D470EB" w:rsidRDefault="000B79E8" w:rsidP="0066671F">
      <w:pPr>
        <w:ind w:firstLine="708"/>
        <w:jc w:val="both"/>
        <w:rPr>
          <w:rFonts w:eastAsia="Calibri"/>
        </w:rPr>
      </w:pPr>
      <w:r w:rsidRPr="00D470EB">
        <w:rPr>
          <w:rFonts w:eastAsia="Calibri"/>
          <w:b/>
        </w:rPr>
        <w:t>Срок и объем гарантий качества</w:t>
      </w:r>
      <w:r w:rsidRPr="00D470EB">
        <w:rPr>
          <w:rFonts w:eastAsia="Calibri"/>
        </w:rPr>
        <w:t xml:space="preserve">: </w:t>
      </w:r>
      <w:r w:rsidR="004D08CA" w:rsidRPr="00CB08C6">
        <w:rPr>
          <w:rFonts w:eastAsia="Calibri"/>
        </w:rPr>
        <w:t>12 месяцев со дня выдачи изделия Получателю и подписания акта сдачи-приемки изделия Получателем. Гарантия качества распространяется на все составляющие изделия. Гарантия не распространяется на естественный износ изделия, а также на повреждения, возникшие в результате использования изделия не по назначению или несоблюдения инструкций изготовителя.</w:t>
      </w:r>
      <w:r w:rsidR="004D08CA" w:rsidRPr="00CB08C6">
        <w:rPr>
          <w:rFonts w:eastAsia="Arial"/>
          <w:bCs/>
        </w:rPr>
        <w:t xml:space="preserve"> В случае гарантийного ремонта (осмотр, ремонт изделия и другие процедуры) оплата расходов на проезд Получателя к месту выполнения работ и обратно осуществляется Исполнителем</w:t>
      </w:r>
      <w:r w:rsidRPr="00D470EB">
        <w:rPr>
          <w:rFonts w:eastAsia="Calibri"/>
        </w:rPr>
        <w:t xml:space="preserve">. </w:t>
      </w:r>
    </w:p>
    <w:p w:rsidR="008A4AA3" w:rsidRPr="00762EB2" w:rsidRDefault="008A4AA3" w:rsidP="008A4AA3">
      <w:pPr>
        <w:ind w:firstLine="708"/>
        <w:jc w:val="both"/>
        <w:rPr>
          <w:color w:val="00000A"/>
          <w:lang w:eastAsia="ru-RU"/>
        </w:rPr>
      </w:pPr>
      <w:r w:rsidRPr="00762EB2">
        <w:rPr>
          <w:rFonts w:eastAsia="Arial"/>
          <w:b/>
          <w:bCs/>
        </w:rPr>
        <w:t xml:space="preserve">Место выполнения работ: </w:t>
      </w:r>
      <w:r w:rsidRPr="00762EB2">
        <w:rPr>
          <w:rFonts w:eastAsia="Arial"/>
          <w:bCs/>
        </w:rPr>
        <w:t>по месту нахождения Исполнителя (</w:t>
      </w:r>
      <w:r w:rsidRPr="00762EB2">
        <w:rPr>
          <w:rFonts w:eastAsia="Arial"/>
          <w:color w:val="000000"/>
        </w:rPr>
        <w:t>соисполнителя</w:t>
      </w:r>
      <w:r w:rsidRPr="00762EB2">
        <w:rPr>
          <w:rFonts w:eastAsia="Arial"/>
          <w:bCs/>
        </w:rPr>
        <w:t xml:space="preserve">). </w:t>
      </w:r>
    </w:p>
    <w:p w:rsidR="008A4AA3" w:rsidRPr="00034923" w:rsidRDefault="008A4AA3" w:rsidP="008A4AA3">
      <w:pPr>
        <w:ind w:firstLine="708"/>
        <w:jc w:val="both"/>
      </w:pPr>
      <w:r w:rsidRPr="00762EB2">
        <w:rPr>
          <w:rFonts w:eastAsia="Arial"/>
          <w:b/>
          <w:bCs/>
        </w:rPr>
        <w:t>Прием Получателей, выдача Получателям протезно</w:t>
      </w:r>
      <w:r>
        <w:rPr>
          <w:rFonts w:eastAsia="Arial"/>
          <w:b/>
          <w:bCs/>
        </w:rPr>
        <w:t>-ортопедических</w:t>
      </w:r>
      <w:r w:rsidRPr="00455BE6">
        <w:rPr>
          <w:rFonts w:eastAsia="Arial"/>
          <w:b/>
          <w:bCs/>
        </w:rPr>
        <w:t xml:space="preserve"> издели</w:t>
      </w:r>
      <w:r>
        <w:rPr>
          <w:rFonts w:eastAsia="Arial"/>
          <w:b/>
          <w:bCs/>
        </w:rPr>
        <w:t>й</w:t>
      </w:r>
      <w:r w:rsidRPr="00455BE6">
        <w:rPr>
          <w:rFonts w:eastAsia="Arial"/>
          <w:b/>
          <w:bCs/>
        </w:rPr>
        <w:t xml:space="preserve">: </w:t>
      </w:r>
      <w:r w:rsidRPr="002C26DC">
        <w:rPr>
          <w:rFonts w:eastAsia="Arial"/>
          <w:bCs/>
        </w:rPr>
        <w:t>прием</w:t>
      </w:r>
      <w:r>
        <w:rPr>
          <w:rFonts w:eastAsia="Arial"/>
          <w:bCs/>
        </w:rPr>
        <w:t xml:space="preserve"> граждан с направлениями, </w:t>
      </w:r>
      <w:r w:rsidRPr="00455BE6">
        <w:rPr>
          <w:rFonts w:eastAsia="Arial"/>
          <w:bCs/>
        </w:rPr>
        <w:t>п</w:t>
      </w:r>
      <w:r w:rsidRPr="00455BE6">
        <w:t>римерка, обучение пользованию и выдача изделий производится в Удмуртской Республике</w:t>
      </w:r>
      <w:r w:rsidRPr="00455BE6">
        <w:rPr>
          <w:rFonts w:eastAsia="Arial"/>
          <w:color w:val="000000"/>
        </w:rPr>
        <w:t xml:space="preserve"> в специально оборудованном помещении</w:t>
      </w:r>
      <w:r w:rsidRPr="00034923">
        <w:t>.</w:t>
      </w:r>
    </w:p>
    <w:p w:rsidR="008A4AA3" w:rsidRPr="00034923" w:rsidRDefault="008A4AA3" w:rsidP="008A4AA3">
      <w:pPr>
        <w:jc w:val="both"/>
      </w:pPr>
      <w:r w:rsidRPr="00034923">
        <w:tab/>
      </w:r>
      <w:r w:rsidRPr="00034923">
        <w:rPr>
          <w:b/>
        </w:rPr>
        <w:t>Срок выполнения работ:</w:t>
      </w:r>
    </w:p>
    <w:p w:rsidR="008A4AA3" w:rsidRPr="00034923" w:rsidRDefault="008A4AA3" w:rsidP="008A4AA3">
      <w:pPr>
        <w:jc w:val="both"/>
      </w:pPr>
      <w:r w:rsidRPr="00034923">
        <w:t xml:space="preserve">1. Организовать работу по приглашению Получателя для первичного приема (снятие мерок, примерка и т.д.) не позднее 5 (пяти) рабочих дней с момента получения Реестров Получателей от Заказчика и выполнить все работы в срок не позднее 20 </w:t>
      </w:r>
      <w:r w:rsidRPr="00034923">
        <w:rPr>
          <w:rFonts w:eastAsia="Calibri"/>
        </w:rPr>
        <w:t>декабря 2022г.</w:t>
      </w:r>
    </w:p>
    <w:p w:rsidR="008A4AA3" w:rsidRPr="00034923" w:rsidRDefault="008A4AA3" w:rsidP="008A4AA3">
      <w:pPr>
        <w:pStyle w:val="4"/>
        <w:jc w:val="both"/>
        <w:rPr>
          <w:sz w:val="24"/>
          <w:szCs w:val="24"/>
        </w:rPr>
      </w:pPr>
      <w:r w:rsidRPr="00034923">
        <w:rPr>
          <w:sz w:val="24"/>
          <w:szCs w:val="24"/>
        </w:rPr>
        <w:t xml:space="preserve">2. Срок обеспечения Получателя протезно-ортопедическим изделием - </w:t>
      </w:r>
      <w:r w:rsidRPr="00034923">
        <w:rPr>
          <w:rFonts w:eastAsia="Calibri"/>
          <w:sz w:val="24"/>
          <w:szCs w:val="24"/>
        </w:rPr>
        <w:t>в течение 60 календарных дней с даты предъявления Получателем направления, оформленного Заказчиком, но не позднее 20 декабря 2022г.</w:t>
      </w:r>
    </w:p>
    <w:p w:rsidR="00F71509" w:rsidRDefault="008A4AA3" w:rsidP="008A4AA3">
      <w:pPr>
        <w:jc w:val="both"/>
        <w:rPr>
          <w:rFonts w:eastAsia="Calibri"/>
          <w:b/>
        </w:rPr>
      </w:pPr>
      <w:r w:rsidRPr="00034923">
        <w:tab/>
        <w:t>Исполнитель должен гарантировать, что изделия передаются свободными от прав третьих лиц и не является предметом залога, ареста или иного обременения</w:t>
      </w:r>
      <w:r w:rsidR="00BC003D" w:rsidRPr="006456FA">
        <w:t>.</w:t>
      </w:r>
    </w:p>
    <w:sectPr w:rsidR="00F71509" w:rsidSect="001C2FC4">
      <w:pgSz w:w="11906" w:h="16838"/>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E3E91"/>
    <w:multiLevelType w:val="hybridMultilevel"/>
    <w:tmpl w:val="0E320EC8"/>
    <w:lvl w:ilvl="0" w:tplc="2BB62C80">
      <w:start w:val="1"/>
      <w:numFmt w:val="decimal"/>
      <w:lvlText w:val="%1."/>
      <w:lvlJc w:val="left"/>
      <w:pPr>
        <w:ind w:left="21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60991AB9"/>
    <w:multiLevelType w:val="hybridMultilevel"/>
    <w:tmpl w:val="763689B2"/>
    <w:lvl w:ilvl="0" w:tplc="2BB62C8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F"/>
    <w:rsid w:val="000121C2"/>
    <w:rsid w:val="00031A08"/>
    <w:rsid w:val="00034B57"/>
    <w:rsid w:val="00034BEE"/>
    <w:rsid w:val="000767AF"/>
    <w:rsid w:val="000B2CDA"/>
    <w:rsid w:val="000B5032"/>
    <w:rsid w:val="000B79E8"/>
    <w:rsid w:val="000C0D91"/>
    <w:rsid w:val="000C3DCE"/>
    <w:rsid w:val="000D5060"/>
    <w:rsid w:val="000E5F02"/>
    <w:rsid w:val="00106D42"/>
    <w:rsid w:val="001156AD"/>
    <w:rsid w:val="001256AA"/>
    <w:rsid w:val="00131DE9"/>
    <w:rsid w:val="001351C3"/>
    <w:rsid w:val="001419DB"/>
    <w:rsid w:val="00165239"/>
    <w:rsid w:val="00165C80"/>
    <w:rsid w:val="00173778"/>
    <w:rsid w:val="00175AB4"/>
    <w:rsid w:val="001977C4"/>
    <w:rsid w:val="001B44D8"/>
    <w:rsid w:val="001C026C"/>
    <w:rsid w:val="001C2065"/>
    <w:rsid w:val="001C2FC4"/>
    <w:rsid w:val="001C3A4E"/>
    <w:rsid w:val="001C735B"/>
    <w:rsid w:val="001E66D8"/>
    <w:rsid w:val="001E707D"/>
    <w:rsid w:val="001F6013"/>
    <w:rsid w:val="002068C3"/>
    <w:rsid w:val="00216810"/>
    <w:rsid w:val="002232F5"/>
    <w:rsid w:val="0023190D"/>
    <w:rsid w:val="00247180"/>
    <w:rsid w:val="00262928"/>
    <w:rsid w:val="00275167"/>
    <w:rsid w:val="002871C0"/>
    <w:rsid w:val="002A4E7D"/>
    <w:rsid w:val="002A5295"/>
    <w:rsid w:val="002B7899"/>
    <w:rsid w:val="002C54A5"/>
    <w:rsid w:val="002C7DB4"/>
    <w:rsid w:val="002D7402"/>
    <w:rsid w:val="002E7FD7"/>
    <w:rsid w:val="002F11F9"/>
    <w:rsid w:val="002F5B76"/>
    <w:rsid w:val="00305D30"/>
    <w:rsid w:val="00320C0E"/>
    <w:rsid w:val="00323DD5"/>
    <w:rsid w:val="0032588A"/>
    <w:rsid w:val="00340A6C"/>
    <w:rsid w:val="00347645"/>
    <w:rsid w:val="0035608C"/>
    <w:rsid w:val="003824D9"/>
    <w:rsid w:val="003A2668"/>
    <w:rsid w:val="003C38BD"/>
    <w:rsid w:val="003F1DDD"/>
    <w:rsid w:val="003F49D2"/>
    <w:rsid w:val="0040731D"/>
    <w:rsid w:val="00411112"/>
    <w:rsid w:val="004420EB"/>
    <w:rsid w:val="00455001"/>
    <w:rsid w:val="00470BB6"/>
    <w:rsid w:val="004B2E23"/>
    <w:rsid w:val="004D06E1"/>
    <w:rsid w:val="004D08CA"/>
    <w:rsid w:val="004D159A"/>
    <w:rsid w:val="004D3C3D"/>
    <w:rsid w:val="004D5FBD"/>
    <w:rsid w:val="004F7729"/>
    <w:rsid w:val="00521259"/>
    <w:rsid w:val="00560570"/>
    <w:rsid w:val="00560D86"/>
    <w:rsid w:val="005756B3"/>
    <w:rsid w:val="00576A6A"/>
    <w:rsid w:val="00583E35"/>
    <w:rsid w:val="00585C97"/>
    <w:rsid w:val="00590C77"/>
    <w:rsid w:val="00594BE1"/>
    <w:rsid w:val="005C1791"/>
    <w:rsid w:val="005C4462"/>
    <w:rsid w:val="005E7962"/>
    <w:rsid w:val="005F4098"/>
    <w:rsid w:val="00602C32"/>
    <w:rsid w:val="00611B88"/>
    <w:rsid w:val="00616779"/>
    <w:rsid w:val="006456FA"/>
    <w:rsid w:val="006568A0"/>
    <w:rsid w:val="0066671F"/>
    <w:rsid w:val="00673F3B"/>
    <w:rsid w:val="00681635"/>
    <w:rsid w:val="00683D84"/>
    <w:rsid w:val="00684C5E"/>
    <w:rsid w:val="006864A2"/>
    <w:rsid w:val="00686E67"/>
    <w:rsid w:val="00694867"/>
    <w:rsid w:val="006A2B33"/>
    <w:rsid w:val="006B4264"/>
    <w:rsid w:val="006B4B72"/>
    <w:rsid w:val="006E0235"/>
    <w:rsid w:val="006E1FC8"/>
    <w:rsid w:val="006E4E84"/>
    <w:rsid w:val="00710A5F"/>
    <w:rsid w:val="0072175E"/>
    <w:rsid w:val="0072723D"/>
    <w:rsid w:val="007456E5"/>
    <w:rsid w:val="007806AC"/>
    <w:rsid w:val="00784265"/>
    <w:rsid w:val="00785D01"/>
    <w:rsid w:val="007C040D"/>
    <w:rsid w:val="007D4509"/>
    <w:rsid w:val="007D52B1"/>
    <w:rsid w:val="008017D6"/>
    <w:rsid w:val="00805D7F"/>
    <w:rsid w:val="00816B45"/>
    <w:rsid w:val="008321CB"/>
    <w:rsid w:val="0083513B"/>
    <w:rsid w:val="00856170"/>
    <w:rsid w:val="008607D1"/>
    <w:rsid w:val="00861373"/>
    <w:rsid w:val="00876D25"/>
    <w:rsid w:val="008A4AA3"/>
    <w:rsid w:val="008C69AF"/>
    <w:rsid w:val="008D5D9B"/>
    <w:rsid w:val="008E28A2"/>
    <w:rsid w:val="00901A4D"/>
    <w:rsid w:val="009065D4"/>
    <w:rsid w:val="00946A72"/>
    <w:rsid w:val="009515B4"/>
    <w:rsid w:val="00951C06"/>
    <w:rsid w:val="0095440F"/>
    <w:rsid w:val="009674D7"/>
    <w:rsid w:val="00976B45"/>
    <w:rsid w:val="00991208"/>
    <w:rsid w:val="00994EA0"/>
    <w:rsid w:val="009A7153"/>
    <w:rsid w:val="009B5CEC"/>
    <w:rsid w:val="009E1085"/>
    <w:rsid w:val="00A45EEF"/>
    <w:rsid w:val="00A67CA6"/>
    <w:rsid w:val="00A74AC7"/>
    <w:rsid w:val="00A81B87"/>
    <w:rsid w:val="00A975C0"/>
    <w:rsid w:val="00AC2FCB"/>
    <w:rsid w:val="00AC3CC5"/>
    <w:rsid w:val="00AD410B"/>
    <w:rsid w:val="00B11A66"/>
    <w:rsid w:val="00B231E6"/>
    <w:rsid w:val="00B25E3F"/>
    <w:rsid w:val="00B43A22"/>
    <w:rsid w:val="00B445D7"/>
    <w:rsid w:val="00B55C25"/>
    <w:rsid w:val="00B70F57"/>
    <w:rsid w:val="00B7431C"/>
    <w:rsid w:val="00B84307"/>
    <w:rsid w:val="00BC003D"/>
    <w:rsid w:val="00BC1F1D"/>
    <w:rsid w:val="00C0433E"/>
    <w:rsid w:val="00C45771"/>
    <w:rsid w:val="00C676D2"/>
    <w:rsid w:val="00C8767D"/>
    <w:rsid w:val="00CB11FB"/>
    <w:rsid w:val="00CB4FE6"/>
    <w:rsid w:val="00CC173C"/>
    <w:rsid w:val="00CC41A8"/>
    <w:rsid w:val="00D000F8"/>
    <w:rsid w:val="00D06063"/>
    <w:rsid w:val="00D27CEB"/>
    <w:rsid w:val="00D30587"/>
    <w:rsid w:val="00D33645"/>
    <w:rsid w:val="00D470EB"/>
    <w:rsid w:val="00D63A77"/>
    <w:rsid w:val="00D862E9"/>
    <w:rsid w:val="00D903C4"/>
    <w:rsid w:val="00DA4205"/>
    <w:rsid w:val="00DA4693"/>
    <w:rsid w:val="00DB5350"/>
    <w:rsid w:val="00DF1DE1"/>
    <w:rsid w:val="00E052AF"/>
    <w:rsid w:val="00E104D8"/>
    <w:rsid w:val="00E127F7"/>
    <w:rsid w:val="00E1545F"/>
    <w:rsid w:val="00E22495"/>
    <w:rsid w:val="00E23465"/>
    <w:rsid w:val="00E24AF8"/>
    <w:rsid w:val="00E24F52"/>
    <w:rsid w:val="00E33383"/>
    <w:rsid w:val="00E45F89"/>
    <w:rsid w:val="00E4760E"/>
    <w:rsid w:val="00E62005"/>
    <w:rsid w:val="00E66AC4"/>
    <w:rsid w:val="00E75D80"/>
    <w:rsid w:val="00E76DB2"/>
    <w:rsid w:val="00E8430A"/>
    <w:rsid w:val="00E864BE"/>
    <w:rsid w:val="00E94C68"/>
    <w:rsid w:val="00EA4A50"/>
    <w:rsid w:val="00EB15B6"/>
    <w:rsid w:val="00EB3846"/>
    <w:rsid w:val="00EB4719"/>
    <w:rsid w:val="00EC26EA"/>
    <w:rsid w:val="00EE0E5A"/>
    <w:rsid w:val="00EF3B10"/>
    <w:rsid w:val="00EF6E02"/>
    <w:rsid w:val="00F31FF0"/>
    <w:rsid w:val="00F54FDB"/>
    <w:rsid w:val="00F71509"/>
    <w:rsid w:val="00F84601"/>
    <w:rsid w:val="00F931CB"/>
    <w:rsid w:val="00FA5684"/>
    <w:rsid w:val="00FB5DAA"/>
    <w:rsid w:val="00FC031A"/>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8ACF-DD20-442C-97AF-6467BEDC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24F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nhideWhenUsed/>
    <w:qFormat/>
    <w:rsid w:val="00EE0E5A"/>
    <w:pPr>
      <w:keepNext/>
      <w:tabs>
        <w:tab w:val="num" w:pos="0"/>
      </w:tabs>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13B"/>
    <w:pPr>
      <w:jc w:val="both"/>
    </w:pPr>
    <w:rPr>
      <w:sz w:val="28"/>
      <w:szCs w:val="20"/>
    </w:rPr>
  </w:style>
  <w:style w:type="character" w:customStyle="1" w:styleId="a4">
    <w:name w:val="Основной текст Знак"/>
    <w:basedOn w:val="a0"/>
    <w:link w:val="a3"/>
    <w:rsid w:val="0083513B"/>
    <w:rPr>
      <w:rFonts w:ascii="Times New Roman" w:eastAsia="Times New Roman" w:hAnsi="Times New Roman" w:cs="Times New Roman"/>
      <w:sz w:val="28"/>
      <w:szCs w:val="20"/>
      <w:lang w:eastAsia="ar-SA"/>
    </w:rPr>
  </w:style>
  <w:style w:type="paragraph" w:styleId="a5">
    <w:name w:val="Normal (Web)"/>
    <w:basedOn w:val="a"/>
    <w:uiPriority w:val="99"/>
    <w:unhideWhenUsed/>
    <w:rsid w:val="0083513B"/>
    <w:pPr>
      <w:suppressAutoHyphens w:val="0"/>
      <w:spacing w:before="100" w:beforeAutospacing="1" w:after="100" w:afterAutospacing="1"/>
    </w:pPr>
    <w:rPr>
      <w:lang w:eastAsia="ru-RU"/>
    </w:rPr>
  </w:style>
  <w:style w:type="paragraph" w:customStyle="1" w:styleId="Standard">
    <w:name w:val="Standard"/>
    <w:rsid w:val="0085617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6">
    <w:name w:val="Balloon Text"/>
    <w:basedOn w:val="a"/>
    <w:link w:val="a7"/>
    <w:uiPriority w:val="99"/>
    <w:semiHidden/>
    <w:unhideWhenUsed/>
    <w:rsid w:val="0023190D"/>
    <w:rPr>
      <w:rFonts w:ascii="Segoe UI" w:hAnsi="Segoe UI" w:cs="Segoe UI"/>
      <w:sz w:val="18"/>
      <w:szCs w:val="18"/>
    </w:rPr>
  </w:style>
  <w:style w:type="character" w:customStyle="1" w:styleId="a7">
    <w:name w:val="Текст выноски Знак"/>
    <w:basedOn w:val="a0"/>
    <w:link w:val="a6"/>
    <w:uiPriority w:val="99"/>
    <w:semiHidden/>
    <w:rsid w:val="0023190D"/>
    <w:rPr>
      <w:rFonts w:ascii="Segoe UI" w:eastAsia="Times New Roman" w:hAnsi="Segoe UI" w:cs="Segoe UI"/>
      <w:sz w:val="18"/>
      <w:szCs w:val="18"/>
      <w:lang w:eastAsia="ar-SA"/>
    </w:rPr>
  </w:style>
  <w:style w:type="paragraph" w:styleId="a8">
    <w:name w:val="List Paragraph"/>
    <w:basedOn w:val="a"/>
    <w:uiPriority w:val="34"/>
    <w:qFormat/>
    <w:rsid w:val="00946A72"/>
    <w:pPr>
      <w:ind w:left="720"/>
      <w:contextualSpacing/>
    </w:pPr>
  </w:style>
  <w:style w:type="character" w:customStyle="1" w:styleId="40">
    <w:name w:val="Заголовок 4 Знак"/>
    <w:basedOn w:val="a0"/>
    <w:link w:val="4"/>
    <w:rsid w:val="00EE0E5A"/>
    <w:rPr>
      <w:rFonts w:ascii="Times New Roman" w:eastAsia="Times New Roman" w:hAnsi="Times New Roman" w:cs="Times New Roman"/>
      <w:sz w:val="28"/>
      <w:szCs w:val="20"/>
      <w:lang w:eastAsia="ar-SA"/>
    </w:rPr>
  </w:style>
  <w:style w:type="character" w:styleId="a9">
    <w:name w:val="Hyperlink"/>
    <w:basedOn w:val="a0"/>
    <w:uiPriority w:val="99"/>
    <w:semiHidden/>
    <w:unhideWhenUsed/>
    <w:rsid w:val="00EE0E5A"/>
    <w:rPr>
      <w:color w:val="0000FF"/>
      <w:u w:val="single"/>
    </w:rPr>
  </w:style>
  <w:style w:type="paragraph" w:customStyle="1" w:styleId="aa">
    <w:name w:val="Базовый"/>
    <w:rsid w:val="000B79E8"/>
    <w:pPr>
      <w:tabs>
        <w:tab w:val="left" w:pos="709"/>
      </w:tabs>
      <w:suppressAutoHyphens/>
      <w:spacing w:after="0" w:line="100" w:lineRule="atLeast"/>
    </w:pPr>
    <w:rPr>
      <w:rFonts w:ascii="Times New Roman" w:eastAsia="Times New Roman" w:hAnsi="Times New Roman" w:cs="Times New Roman"/>
      <w:sz w:val="20"/>
      <w:szCs w:val="20"/>
      <w:lang w:eastAsia="ar-SA"/>
    </w:rPr>
  </w:style>
  <w:style w:type="table" w:styleId="ab">
    <w:name w:val="Table Grid"/>
    <w:basedOn w:val="a1"/>
    <w:uiPriority w:val="39"/>
    <w:rsid w:val="00C0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пт"/>
    <w:aliases w:val="По центру,Справа:"/>
    <w:basedOn w:val="a"/>
    <w:rsid w:val="00C0433E"/>
    <w:pPr>
      <w:snapToGrid w:val="0"/>
      <w:spacing w:line="100" w:lineRule="atLeast"/>
      <w:ind w:right="-22"/>
      <w:jc w:val="center"/>
    </w:pPr>
    <w:rPr>
      <w:kern w:val="2"/>
      <w:sz w:val="20"/>
      <w:szCs w:val="20"/>
      <w:lang w:eastAsia="hi-IN" w:bidi="hi-IN"/>
    </w:rPr>
  </w:style>
  <w:style w:type="paragraph" w:styleId="ac">
    <w:name w:val="No Spacing"/>
    <w:link w:val="ad"/>
    <w:qFormat/>
    <w:rsid w:val="00F931CB"/>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E24F52"/>
    <w:rPr>
      <w:rFonts w:asciiTheme="majorHAnsi" w:eastAsiaTheme="majorEastAsia" w:hAnsiTheme="majorHAnsi" w:cstheme="majorBidi"/>
      <w:b/>
      <w:bCs/>
      <w:color w:val="2E74B5" w:themeColor="accent1" w:themeShade="BF"/>
      <w:sz w:val="28"/>
      <w:szCs w:val="28"/>
      <w:lang w:eastAsia="ar-SA"/>
    </w:rPr>
  </w:style>
  <w:style w:type="character" w:customStyle="1" w:styleId="WW-Absatz-Standardschriftart1111111">
    <w:name w:val="WW-Absatz-Standardschriftart1111111"/>
    <w:rsid w:val="0066671F"/>
  </w:style>
  <w:style w:type="character" w:customStyle="1" w:styleId="FontStyle12">
    <w:name w:val="Font Style12"/>
    <w:uiPriority w:val="99"/>
    <w:rsid w:val="00EA4A50"/>
    <w:rPr>
      <w:rFonts w:ascii="Times New Roman" w:hAnsi="Times New Roman" w:cs="Times New Roman"/>
      <w:sz w:val="22"/>
      <w:szCs w:val="22"/>
    </w:rPr>
  </w:style>
  <w:style w:type="character" w:customStyle="1" w:styleId="ad">
    <w:name w:val="Без интервала Знак"/>
    <w:link w:val="ac"/>
    <w:locked/>
    <w:rsid w:val="00D000F8"/>
    <w:rPr>
      <w:rFonts w:ascii="Calibri" w:eastAsia="Arial" w:hAnsi="Calibri" w:cs="Times New Roman"/>
      <w:lang w:eastAsia="ar-SA"/>
    </w:rPr>
  </w:style>
  <w:style w:type="character" w:customStyle="1" w:styleId="ng-binding">
    <w:name w:val="ng-binding"/>
    <w:rsid w:val="004D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2295">
      <w:bodyDiv w:val="1"/>
      <w:marLeft w:val="0"/>
      <w:marRight w:val="0"/>
      <w:marTop w:val="0"/>
      <w:marBottom w:val="0"/>
      <w:divBdr>
        <w:top w:val="none" w:sz="0" w:space="0" w:color="auto"/>
        <w:left w:val="none" w:sz="0" w:space="0" w:color="auto"/>
        <w:bottom w:val="none" w:sz="0" w:space="0" w:color="auto"/>
        <w:right w:val="none" w:sz="0" w:space="0" w:color="auto"/>
      </w:divBdr>
    </w:div>
    <w:div w:id="767384966">
      <w:bodyDiv w:val="1"/>
      <w:marLeft w:val="0"/>
      <w:marRight w:val="0"/>
      <w:marTop w:val="0"/>
      <w:marBottom w:val="0"/>
      <w:divBdr>
        <w:top w:val="none" w:sz="0" w:space="0" w:color="auto"/>
        <w:left w:val="none" w:sz="0" w:space="0" w:color="auto"/>
        <w:bottom w:val="none" w:sz="0" w:space="0" w:color="auto"/>
        <w:right w:val="none" w:sz="0" w:space="0" w:color="auto"/>
      </w:divBdr>
    </w:div>
    <w:div w:id="898173914">
      <w:bodyDiv w:val="1"/>
      <w:marLeft w:val="0"/>
      <w:marRight w:val="0"/>
      <w:marTop w:val="0"/>
      <w:marBottom w:val="0"/>
      <w:divBdr>
        <w:top w:val="none" w:sz="0" w:space="0" w:color="auto"/>
        <w:left w:val="none" w:sz="0" w:space="0" w:color="auto"/>
        <w:bottom w:val="none" w:sz="0" w:space="0" w:color="auto"/>
        <w:right w:val="none" w:sz="0" w:space="0" w:color="auto"/>
      </w:divBdr>
    </w:div>
    <w:div w:id="1154956291">
      <w:bodyDiv w:val="1"/>
      <w:marLeft w:val="0"/>
      <w:marRight w:val="0"/>
      <w:marTop w:val="0"/>
      <w:marBottom w:val="0"/>
      <w:divBdr>
        <w:top w:val="none" w:sz="0" w:space="0" w:color="auto"/>
        <w:left w:val="none" w:sz="0" w:space="0" w:color="auto"/>
        <w:bottom w:val="none" w:sz="0" w:space="0" w:color="auto"/>
        <w:right w:val="none" w:sz="0" w:space="0" w:color="auto"/>
      </w:divBdr>
    </w:div>
    <w:div w:id="1237939358">
      <w:bodyDiv w:val="1"/>
      <w:marLeft w:val="0"/>
      <w:marRight w:val="0"/>
      <w:marTop w:val="0"/>
      <w:marBottom w:val="0"/>
      <w:divBdr>
        <w:top w:val="none" w:sz="0" w:space="0" w:color="auto"/>
        <w:left w:val="none" w:sz="0" w:space="0" w:color="auto"/>
        <w:bottom w:val="none" w:sz="0" w:space="0" w:color="auto"/>
        <w:right w:val="none" w:sz="0" w:space="0" w:color="auto"/>
      </w:divBdr>
    </w:div>
    <w:div w:id="1360736712">
      <w:bodyDiv w:val="1"/>
      <w:marLeft w:val="0"/>
      <w:marRight w:val="0"/>
      <w:marTop w:val="0"/>
      <w:marBottom w:val="0"/>
      <w:divBdr>
        <w:top w:val="none" w:sz="0" w:space="0" w:color="auto"/>
        <w:left w:val="none" w:sz="0" w:space="0" w:color="auto"/>
        <w:bottom w:val="none" w:sz="0" w:space="0" w:color="auto"/>
        <w:right w:val="none" w:sz="0" w:space="0" w:color="auto"/>
      </w:divBdr>
    </w:div>
    <w:div w:id="1560558664">
      <w:bodyDiv w:val="1"/>
      <w:marLeft w:val="0"/>
      <w:marRight w:val="0"/>
      <w:marTop w:val="0"/>
      <w:marBottom w:val="0"/>
      <w:divBdr>
        <w:top w:val="none" w:sz="0" w:space="0" w:color="auto"/>
        <w:left w:val="none" w:sz="0" w:space="0" w:color="auto"/>
        <w:bottom w:val="none" w:sz="0" w:space="0" w:color="auto"/>
        <w:right w:val="none" w:sz="0" w:space="0" w:color="auto"/>
      </w:divBdr>
    </w:div>
    <w:div w:id="1659335409">
      <w:bodyDiv w:val="1"/>
      <w:marLeft w:val="0"/>
      <w:marRight w:val="0"/>
      <w:marTop w:val="0"/>
      <w:marBottom w:val="0"/>
      <w:divBdr>
        <w:top w:val="none" w:sz="0" w:space="0" w:color="auto"/>
        <w:left w:val="none" w:sz="0" w:space="0" w:color="auto"/>
        <w:bottom w:val="none" w:sz="0" w:space="0" w:color="auto"/>
        <w:right w:val="none" w:sz="0" w:space="0" w:color="auto"/>
      </w:divBdr>
    </w:div>
    <w:div w:id="1671523588">
      <w:bodyDiv w:val="1"/>
      <w:marLeft w:val="0"/>
      <w:marRight w:val="0"/>
      <w:marTop w:val="0"/>
      <w:marBottom w:val="0"/>
      <w:divBdr>
        <w:top w:val="none" w:sz="0" w:space="0" w:color="auto"/>
        <w:left w:val="none" w:sz="0" w:space="0" w:color="auto"/>
        <w:bottom w:val="none" w:sz="0" w:space="0" w:color="auto"/>
        <w:right w:val="none" w:sz="0" w:space="0" w:color="auto"/>
      </w:divBdr>
    </w:div>
    <w:div w:id="21265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813B-0C39-4AAD-AAC5-E81086C8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Ирина Рудольфовна</dc:creator>
  <cp:lastModifiedBy>Агапитова Светлана Михайловна</cp:lastModifiedBy>
  <cp:revision>3</cp:revision>
  <cp:lastPrinted>2021-11-27T09:29:00Z</cp:lastPrinted>
  <dcterms:created xsi:type="dcterms:W3CDTF">2022-06-27T11:49:00Z</dcterms:created>
  <dcterms:modified xsi:type="dcterms:W3CDTF">2022-06-28T12:37:00Z</dcterms:modified>
</cp:coreProperties>
</file>