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0F" w:rsidRPr="0067501D" w:rsidRDefault="007F63D0" w:rsidP="00537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00F" w:rsidRPr="0067501D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</w:p>
    <w:p w:rsidR="0053700F" w:rsidRDefault="0053700F" w:rsidP="00537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извещению об осуществлении закупки</w:t>
      </w:r>
    </w:p>
    <w:p w:rsidR="0053700F" w:rsidRPr="0067501D" w:rsidRDefault="0053700F" w:rsidP="0053700F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>Описание объекта закупки</w:t>
      </w:r>
    </w:p>
    <w:p w:rsidR="0053700F" w:rsidRPr="0067501D" w:rsidRDefault="0053700F" w:rsidP="0053700F">
      <w:pPr>
        <w:jc w:val="center"/>
        <w:rPr>
          <w:rFonts w:ascii="Times New Roman" w:hAnsi="Times New Roman"/>
          <w:sz w:val="24"/>
          <w:szCs w:val="24"/>
        </w:rPr>
      </w:pPr>
      <w:r w:rsidRPr="0067501D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00F" w:rsidRDefault="0053700F" w:rsidP="005370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7B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учреждениях.</w:t>
      </w:r>
    </w:p>
    <w:p w:rsidR="0053700F" w:rsidRPr="0016677B" w:rsidRDefault="0053700F" w:rsidP="0053700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ОКПД2 86.90.19.140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1 315 170, 0 </w:t>
      </w:r>
      <w:r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70F" w:rsidRPr="005455C4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>Начальная цена единицы услуги: 1 461,30 рублей.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Кировская область.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19 декабря 2022 года. 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07A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F31C5">
        <w:rPr>
          <w:rFonts w:ascii="Times New Roman CYR" w:eastAsia="Calibri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кожи и подкожной клетчатки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40370F" w:rsidRDefault="0040370F" w:rsidP="004037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>остановлением Правительства Российской Федерации 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EB5A3D">
        <w:rPr>
          <w:rFonts w:ascii="Times New Roman" w:hAnsi="Times New Roman"/>
          <w:bCs/>
          <w:sz w:val="24"/>
          <w:szCs w:val="24"/>
        </w:rPr>
        <w:t>«терапии», 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Pr="00EB5A3D">
        <w:rPr>
          <w:rFonts w:ascii="Times New Roman" w:hAnsi="Times New Roman"/>
          <w:bCs/>
          <w:sz w:val="24"/>
          <w:szCs w:val="24"/>
        </w:rPr>
        <w:t>», «диетологии», «кардиологии», «неврологии»,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ото</w:t>
      </w:r>
      <w:r>
        <w:rPr>
          <w:rFonts w:ascii="Times New Roman" w:hAnsi="Times New Roman"/>
          <w:bCs/>
          <w:sz w:val="24"/>
          <w:szCs w:val="24"/>
        </w:rPr>
        <w:t>риноларинголии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(за исключением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</w:t>
      </w:r>
      <w:r w:rsidRPr="00EB5A3D">
        <w:rPr>
          <w:rFonts w:ascii="Times New Roman" w:hAnsi="Times New Roman"/>
          <w:bCs/>
          <w:sz w:val="24"/>
          <w:szCs w:val="24"/>
        </w:rPr>
        <w:t>.</w:t>
      </w:r>
    </w:p>
    <w:p w:rsidR="0040370F" w:rsidRDefault="0040370F" w:rsidP="004037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lastRenderedPageBreak/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40370F" w:rsidRPr="00D0762C" w:rsidRDefault="0040370F" w:rsidP="0040370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40370F" w:rsidRPr="004C7954" w:rsidRDefault="0040370F" w:rsidP="0040370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0370F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40370F" w:rsidRPr="004C7954" w:rsidRDefault="0040370F" w:rsidP="00403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40370F" w:rsidRPr="004C7954" w:rsidRDefault="0040370F" w:rsidP="00403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40370F" w:rsidRDefault="0040370F" w:rsidP="00403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40370F" w:rsidRPr="004C7954" w:rsidRDefault="0040370F" w:rsidP="0040370F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proofErr w:type="gramStart"/>
      <w:r w:rsidRPr="001E7AEA">
        <w:rPr>
          <w:rFonts w:ascii="Times New Roman" w:hAnsi="Times New Roman"/>
          <w:sz w:val="24"/>
          <w:szCs w:val="24"/>
        </w:rPr>
        <w:t>лечения,  указанному</w:t>
      </w:r>
      <w:proofErr w:type="gramEnd"/>
      <w:r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40370F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40370F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не  превышает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размещения  подготовлен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к действиям в чрезвычайных ситуациях.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имущества,  соблюдены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40370F" w:rsidRPr="004C7954" w:rsidRDefault="0040370F" w:rsidP="004037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Default="000D5509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666" w:rsidRPr="00F12CDC" w:rsidRDefault="00EB5666" w:rsidP="00EB5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2CDC">
        <w:rPr>
          <w:rFonts w:ascii="Times New Roman" w:hAnsi="Times New Roman"/>
          <w:b/>
          <w:sz w:val="24"/>
          <w:szCs w:val="24"/>
        </w:rPr>
        <w:t>Все суммы денежных средств указаны в российских рублях.</w:t>
      </w:r>
    </w:p>
    <w:p w:rsidR="00EB5666" w:rsidRDefault="00EB5666" w:rsidP="00EB5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EB5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4142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E36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370F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208F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4821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00F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4B6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6F7E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5C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EF2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46CD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666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27B3-FC0F-4B86-AFFA-D586D26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Задорожных Наталья Александровна</cp:lastModifiedBy>
  <cp:revision>18</cp:revision>
  <dcterms:created xsi:type="dcterms:W3CDTF">2022-02-11T08:30:00Z</dcterms:created>
  <dcterms:modified xsi:type="dcterms:W3CDTF">2022-09-08T12:01:00Z</dcterms:modified>
</cp:coreProperties>
</file>