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A0502" w:rsidRDefault="003A0502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3A0502" w:rsidRDefault="0098039B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98039B">
        <w:rPr>
          <w:b/>
        </w:rPr>
        <w:t>Выполнение работ по обеспечению застрахованного лица, получившего повреждение здоровья вследствие несчастного случая на производстве, протезом нижней конечности в 2022 году</w:t>
      </w:r>
    </w:p>
    <w:p w:rsidR="0098039B" w:rsidRDefault="0098039B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tbl>
      <w:tblPr>
        <w:tblStyle w:val="2"/>
        <w:tblpPr w:leftFromText="180" w:rightFromText="180" w:vertAnchor="text" w:tblpY="1"/>
        <w:tblOverlap w:val="never"/>
        <w:tblW w:w="15032" w:type="dxa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6662"/>
        <w:gridCol w:w="875"/>
        <w:gridCol w:w="826"/>
        <w:gridCol w:w="1843"/>
        <w:gridCol w:w="1854"/>
      </w:tblGrid>
      <w:tr w:rsidR="003A0502" w:rsidRPr="000D6354" w:rsidTr="003A0502">
        <w:tc>
          <w:tcPr>
            <w:tcW w:w="540" w:type="dxa"/>
          </w:tcPr>
          <w:p w:rsidR="003A0502" w:rsidRPr="000D6354" w:rsidRDefault="003A0502" w:rsidP="003A050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0D6354">
              <w:rPr>
                <w:sz w:val="22"/>
                <w:szCs w:val="22"/>
              </w:rPr>
              <w:t>№ п/п</w:t>
            </w:r>
          </w:p>
        </w:tc>
        <w:tc>
          <w:tcPr>
            <w:tcW w:w="2432" w:type="dxa"/>
          </w:tcPr>
          <w:p w:rsidR="003A0502" w:rsidRPr="000D6354" w:rsidRDefault="003A0502" w:rsidP="003A050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0D6354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6662" w:type="dxa"/>
          </w:tcPr>
          <w:p w:rsidR="003A0502" w:rsidRPr="000D6354" w:rsidRDefault="003A0502" w:rsidP="003A050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0D6354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875" w:type="dxa"/>
          </w:tcPr>
          <w:p w:rsidR="003A0502" w:rsidRPr="000D6354" w:rsidRDefault="003A0502" w:rsidP="003A050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0D6354">
              <w:rPr>
                <w:sz w:val="22"/>
                <w:szCs w:val="22"/>
              </w:rPr>
              <w:t>Ед. изм.</w:t>
            </w:r>
          </w:p>
        </w:tc>
        <w:tc>
          <w:tcPr>
            <w:tcW w:w="826" w:type="dxa"/>
          </w:tcPr>
          <w:p w:rsidR="003A0502" w:rsidRPr="000D6354" w:rsidRDefault="003A0502" w:rsidP="003A0502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0D635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</w:tcPr>
          <w:p w:rsidR="003A0502" w:rsidRPr="000D6354" w:rsidRDefault="003A0502" w:rsidP="003A0502">
            <w:pPr>
              <w:keepLines/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0D6354">
              <w:rPr>
                <w:sz w:val="22"/>
                <w:szCs w:val="22"/>
              </w:rPr>
              <w:t>Цена за единицу измерения, руб.</w:t>
            </w:r>
            <w:r w:rsidRPr="000D6354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54" w:type="dxa"/>
          </w:tcPr>
          <w:p w:rsidR="003A0502" w:rsidRPr="000D6354" w:rsidRDefault="003A0502" w:rsidP="003A0502">
            <w:pPr>
              <w:keepLines/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0D6354">
              <w:rPr>
                <w:sz w:val="22"/>
                <w:szCs w:val="22"/>
              </w:rPr>
              <w:t>Стоимость позиции, руб.</w:t>
            </w:r>
            <w:r w:rsidRPr="000D6354">
              <w:rPr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3A0502" w:rsidRPr="000D6354" w:rsidTr="003A0502">
        <w:tc>
          <w:tcPr>
            <w:tcW w:w="540" w:type="dxa"/>
          </w:tcPr>
          <w:p w:rsidR="003A0502" w:rsidRPr="000D6354" w:rsidRDefault="003A0502" w:rsidP="003A67DA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2" w:type="dxa"/>
          </w:tcPr>
          <w:p w:rsidR="003A0502" w:rsidRPr="000D6354" w:rsidRDefault="003A0502" w:rsidP="003A67D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9C4D99">
              <w:rPr>
                <w:sz w:val="22"/>
                <w:szCs w:val="22"/>
              </w:rPr>
              <w:t>Протез бедра модульный с микропроцессорным управлением</w:t>
            </w:r>
          </w:p>
        </w:tc>
        <w:tc>
          <w:tcPr>
            <w:tcW w:w="6662" w:type="dxa"/>
          </w:tcPr>
          <w:p w:rsidR="003A0502" w:rsidRPr="002E73B9" w:rsidRDefault="003A0502" w:rsidP="003A0502">
            <w:pPr>
              <w:keepLines/>
              <w:widowControl w:val="0"/>
              <w:ind w:firstLine="317"/>
              <w:jc w:val="both"/>
              <w:rPr>
                <w:sz w:val="22"/>
                <w:szCs w:val="22"/>
              </w:rPr>
            </w:pPr>
            <w:r w:rsidRPr="002E73B9">
              <w:rPr>
                <w:sz w:val="22"/>
                <w:szCs w:val="22"/>
              </w:rPr>
              <w:t>Протез бедра модульный с внешним источником энергии</w:t>
            </w:r>
          </w:p>
          <w:p w:rsidR="003A0502" w:rsidRPr="002E73B9" w:rsidRDefault="003A0502" w:rsidP="003A0502">
            <w:pPr>
              <w:keepLines/>
              <w:widowControl w:val="0"/>
              <w:ind w:firstLine="317"/>
              <w:jc w:val="both"/>
              <w:rPr>
                <w:sz w:val="22"/>
                <w:szCs w:val="22"/>
              </w:rPr>
            </w:pPr>
            <w:r w:rsidRPr="002E73B9">
              <w:rPr>
                <w:sz w:val="22"/>
                <w:szCs w:val="22"/>
              </w:rPr>
              <w:t xml:space="preserve">Приемная гильза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2E73B9">
              <w:rPr>
                <w:sz w:val="22"/>
                <w:szCs w:val="22"/>
              </w:rPr>
              <w:t xml:space="preserve">индивидуального изготовления по слепку с культи пациента, </w:t>
            </w:r>
            <w:proofErr w:type="spellStart"/>
            <w:r w:rsidRPr="002E73B9">
              <w:rPr>
                <w:sz w:val="22"/>
                <w:szCs w:val="22"/>
              </w:rPr>
              <w:t>скелетированная</w:t>
            </w:r>
            <w:proofErr w:type="spellEnd"/>
            <w:r w:rsidRPr="002E73B9">
              <w:rPr>
                <w:sz w:val="22"/>
                <w:szCs w:val="22"/>
              </w:rPr>
              <w:t xml:space="preserve">. Материал постоянной гильзы: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2E73B9">
              <w:rPr>
                <w:sz w:val="22"/>
                <w:szCs w:val="22"/>
              </w:rPr>
              <w:t>углепластик на основе акриловых смол.</w:t>
            </w:r>
          </w:p>
          <w:p w:rsidR="003A0502" w:rsidRPr="002E73B9" w:rsidRDefault="003A0502" w:rsidP="003A0502">
            <w:pPr>
              <w:keepLines/>
              <w:widowControl w:val="0"/>
              <w:ind w:firstLine="317"/>
              <w:jc w:val="both"/>
              <w:rPr>
                <w:sz w:val="22"/>
                <w:szCs w:val="22"/>
              </w:rPr>
            </w:pPr>
            <w:r w:rsidRPr="002E73B9">
              <w:rPr>
                <w:sz w:val="22"/>
                <w:szCs w:val="22"/>
              </w:rPr>
              <w:t xml:space="preserve">Вкладная гильза: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2E73B9">
              <w:rPr>
                <w:sz w:val="22"/>
                <w:szCs w:val="22"/>
              </w:rPr>
              <w:t xml:space="preserve">из эластичного пластика. Допускается изготовление пробных гильз из термопласта. Крепление протеза </w:t>
            </w:r>
            <w:r>
              <w:rPr>
                <w:sz w:val="22"/>
                <w:szCs w:val="22"/>
              </w:rPr>
              <w:t xml:space="preserve">должно быть </w:t>
            </w:r>
            <w:r w:rsidRPr="002E73B9">
              <w:rPr>
                <w:sz w:val="22"/>
                <w:szCs w:val="22"/>
              </w:rPr>
              <w:t xml:space="preserve">вакуумное, при помощи силиконового лайнера с интегрированными прорезиненными мембранами. </w:t>
            </w:r>
            <w:proofErr w:type="spellStart"/>
            <w:r w:rsidRPr="002E73B9">
              <w:rPr>
                <w:sz w:val="22"/>
                <w:szCs w:val="22"/>
              </w:rPr>
              <w:t>Регулирочно</w:t>
            </w:r>
            <w:proofErr w:type="spellEnd"/>
            <w:r w:rsidRPr="002E73B9">
              <w:rPr>
                <w:sz w:val="22"/>
                <w:szCs w:val="22"/>
              </w:rPr>
              <w:t xml:space="preserve">-соединительные устройства должны соответствовать весовым и нагрузочным параметрам пациента. Применение поворотного устройства, </w:t>
            </w:r>
            <w:r>
              <w:rPr>
                <w:sz w:val="22"/>
                <w:szCs w:val="22"/>
              </w:rPr>
              <w:t xml:space="preserve">должно </w:t>
            </w:r>
            <w:r w:rsidRPr="002E73B9">
              <w:rPr>
                <w:sz w:val="22"/>
                <w:szCs w:val="22"/>
              </w:rPr>
              <w:t>обеспечива</w:t>
            </w:r>
            <w:r>
              <w:rPr>
                <w:sz w:val="22"/>
                <w:szCs w:val="22"/>
              </w:rPr>
              <w:t>ть</w:t>
            </w:r>
            <w:r w:rsidRPr="002E73B9">
              <w:rPr>
                <w:sz w:val="22"/>
                <w:szCs w:val="22"/>
              </w:rPr>
              <w:t xml:space="preserve"> поворот коленного модуля и стопы относительно приемной гильзы на 360 градусов (с целью увеличения самообслуживания пациента в быту).</w:t>
            </w:r>
          </w:p>
          <w:p w:rsidR="003A0502" w:rsidRPr="002E73B9" w:rsidRDefault="003A0502" w:rsidP="003A0502">
            <w:pPr>
              <w:keepLines/>
              <w:widowControl w:val="0"/>
              <w:ind w:firstLine="317"/>
              <w:jc w:val="both"/>
              <w:rPr>
                <w:sz w:val="22"/>
                <w:szCs w:val="22"/>
              </w:rPr>
            </w:pPr>
            <w:r w:rsidRPr="002E73B9">
              <w:rPr>
                <w:sz w:val="22"/>
                <w:szCs w:val="22"/>
              </w:rPr>
              <w:t xml:space="preserve">Коленный модуль: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2E73B9">
              <w:rPr>
                <w:sz w:val="22"/>
                <w:szCs w:val="22"/>
              </w:rPr>
              <w:t xml:space="preserve">с управляемой микропроцессором фазой опоры и переноса (управляемая микропроцессором вязкость </w:t>
            </w:r>
            <w:proofErr w:type="spellStart"/>
            <w:r w:rsidRPr="002E73B9">
              <w:rPr>
                <w:sz w:val="22"/>
                <w:szCs w:val="22"/>
              </w:rPr>
              <w:t>магнитореологической</w:t>
            </w:r>
            <w:proofErr w:type="spellEnd"/>
            <w:r w:rsidRPr="002E73B9">
              <w:rPr>
                <w:sz w:val="22"/>
                <w:szCs w:val="22"/>
              </w:rPr>
              <w:t xml:space="preserve"> жидкости в приводе коленного модуля), с функцией механического ручного «замка»,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возможностью бега трусцой, с функцией автоматического распознавания езды на велосипеде, с функцией возможного спуска и подъема по лестнице, угол сгибания до 120 градусов, максимальный вес пациента до 136 кг.</w:t>
            </w:r>
          </w:p>
          <w:p w:rsidR="003A0502" w:rsidRPr="002E73B9" w:rsidRDefault="003A0502" w:rsidP="003A0502">
            <w:pPr>
              <w:keepLines/>
              <w:widowControl w:val="0"/>
              <w:ind w:firstLine="317"/>
              <w:jc w:val="both"/>
              <w:rPr>
                <w:sz w:val="22"/>
                <w:szCs w:val="22"/>
              </w:rPr>
            </w:pPr>
            <w:r w:rsidRPr="002E73B9">
              <w:rPr>
                <w:sz w:val="22"/>
                <w:szCs w:val="22"/>
              </w:rPr>
              <w:t xml:space="preserve">Электронно-управляемая стопа должна быть из углепластика, с расщепленной носочной частью, отведенным большим пальцем, с возможностью выбора жестокости под массу и активность пациента, влагозащищенная, с микропроцессорным управлением щиколотки, с функцией изменения угла щиколотки во время ходьбы в зависимости от рельефа местности, встроенная в щиколотку </w:t>
            </w:r>
            <w:r w:rsidRPr="002E73B9">
              <w:rPr>
                <w:sz w:val="22"/>
                <w:szCs w:val="22"/>
              </w:rPr>
              <w:lastRenderedPageBreak/>
              <w:t>аккумуляторная батарея.</w:t>
            </w:r>
          </w:p>
          <w:p w:rsidR="003A0502" w:rsidRPr="002E73B9" w:rsidRDefault="003A0502" w:rsidP="003A0502">
            <w:pPr>
              <w:keepLines/>
              <w:widowControl w:val="0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Должна быть в</w:t>
            </w:r>
            <w:r w:rsidRPr="002E73B9">
              <w:rPr>
                <w:sz w:val="22"/>
                <w:szCs w:val="22"/>
              </w:rPr>
              <w:t xml:space="preserve">озможность самостоятельной, автоматической, бесступенчатой настройки высоты каблука в диапазоне от 0 до 5,0 см, в том числе с возможностью изменения настройки высоты каблука при помощи мобильного приложения для пользователя. Косметическая облицовка: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2E73B9">
              <w:rPr>
                <w:sz w:val="22"/>
                <w:szCs w:val="22"/>
              </w:rPr>
              <w:t>специализированная пыле-влагозащищенная.</w:t>
            </w:r>
          </w:p>
          <w:p w:rsidR="003A0502" w:rsidRPr="000D6354" w:rsidRDefault="003A0502" w:rsidP="003A0502">
            <w:pPr>
              <w:keepLines/>
              <w:widowControl w:val="0"/>
              <w:ind w:firstLine="317"/>
              <w:jc w:val="both"/>
              <w:rPr>
                <w:sz w:val="22"/>
                <w:szCs w:val="22"/>
              </w:rPr>
            </w:pPr>
            <w:r w:rsidRPr="002E73B9">
              <w:rPr>
                <w:sz w:val="22"/>
                <w:szCs w:val="22"/>
              </w:rPr>
              <w:t xml:space="preserve">Тип протеза: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2E73B9">
              <w:rPr>
                <w:sz w:val="22"/>
                <w:szCs w:val="22"/>
              </w:rPr>
              <w:t>постоянный</w:t>
            </w:r>
          </w:p>
        </w:tc>
        <w:tc>
          <w:tcPr>
            <w:tcW w:w="875" w:type="dxa"/>
          </w:tcPr>
          <w:p w:rsidR="003A0502" w:rsidRPr="000D6354" w:rsidRDefault="003A0502" w:rsidP="003A67D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826" w:type="dxa"/>
          </w:tcPr>
          <w:p w:rsidR="003A0502" w:rsidRPr="000D6354" w:rsidRDefault="003A0502" w:rsidP="003A67D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A0502" w:rsidRPr="000D6354" w:rsidRDefault="003A0502" w:rsidP="003A67D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5 861 833,33</w:t>
            </w:r>
          </w:p>
        </w:tc>
        <w:tc>
          <w:tcPr>
            <w:tcW w:w="1854" w:type="dxa"/>
          </w:tcPr>
          <w:p w:rsidR="003A0502" w:rsidRPr="000D6354" w:rsidRDefault="003A0502" w:rsidP="003A67DA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5 861 833,33</w:t>
            </w:r>
          </w:p>
        </w:tc>
      </w:tr>
      <w:tr w:rsidR="00DE07A5" w:rsidRPr="000D6354" w:rsidTr="00647D8C">
        <w:tc>
          <w:tcPr>
            <w:tcW w:w="9634" w:type="dxa"/>
            <w:gridSpan w:val="3"/>
          </w:tcPr>
          <w:p w:rsidR="00DE07A5" w:rsidRPr="00DE07A5" w:rsidRDefault="00DE07A5" w:rsidP="00DE07A5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DE07A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75" w:type="dxa"/>
          </w:tcPr>
          <w:p w:rsidR="00DE07A5" w:rsidRPr="00DE07A5" w:rsidRDefault="00DE07A5" w:rsidP="00DE07A5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dxa"/>
          </w:tcPr>
          <w:p w:rsidR="00DE07A5" w:rsidRPr="00DE07A5" w:rsidRDefault="00DE07A5" w:rsidP="00DE07A5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DE07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E07A5" w:rsidRPr="00DE07A5" w:rsidRDefault="00DE07A5" w:rsidP="00DE07A5">
            <w:pPr>
              <w:keepLines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</w:tcPr>
          <w:p w:rsidR="00DE07A5" w:rsidRPr="00DE07A5" w:rsidRDefault="00DE07A5" w:rsidP="00DE07A5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DE07A5">
              <w:rPr>
                <w:b/>
                <w:sz w:val="22"/>
                <w:szCs w:val="22"/>
              </w:rPr>
              <w:t>5 861 833,33</w:t>
            </w:r>
          </w:p>
        </w:tc>
      </w:tr>
    </w:tbl>
    <w:p w:rsidR="00D54220" w:rsidRDefault="00D54220" w:rsidP="00DE07A5">
      <w:pPr>
        <w:widowControl w:val="0"/>
        <w:jc w:val="center"/>
        <w:rPr>
          <w:b/>
        </w:rPr>
      </w:pPr>
    </w:p>
    <w:p w:rsidR="00DE07A5" w:rsidRPr="00C03856" w:rsidRDefault="00DE07A5" w:rsidP="00DE07A5">
      <w:pPr>
        <w:widowControl w:val="0"/>
        <w:jc w:val="center"/>
        <w:rPr>
          <w:b/>
        </w:rPr>
      </w:pPr>
      <w:r w:rsidRPr="00C03856">
        <w:rPr>
          <w:b/>
        </w:rPr>
        <w:t>Требования к качеству работ</w:t>
      </w:r>
    </w:p>
    <w:p w:rsidR="00DE07A5" w:rsidRPr="00C03856" w:rsidRDefault="00DE07A5" w:rsidP="003440BD">
      <w:pPr>
        <w:widowControl w:val="0"/>
        <w:ind w:right="-173" w:firstLine="709"/>
        <w:jc w:val="both"/>
      </w:pPr>
      <w:r w:rsidRPr="00C03856">
        <w:t>Выполняемые работы по обеспечению инвалида протезом должны содержать комплекс медицинских, технических и социальных мероприятий, проводимых с пациентами, имеющими нарушения и (или) дефекты,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мероприятий.</w:t>
      </w:r>
    </w:p>
    <w:p w:rsidR="00DE07A5" w:rsidRPr="00C03856" w:rsidRDefault="00DE07A5" w:rsidP="003440BD">
      <w:pPr>
        <w:widowControl w:val="0"/>
        <w:ind w:right="-173" w:firstLine="709"/>
        <w:jc w:val="both"/>
        <w:rPr>
          <w:rFonts w:eastAsia="Calibri"/>
          <w:color w:val="000000"/>
        </w:rPr>
      </w:pPr>
      <w:r w:rsidRPr="00C03856">
        <w:rPr>
          <w:rFonts w:eastAsia="Calibri"/>
          <w:color w:val="000000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пациента с помощью протеза голени.</w:t>
      </w:r>
    </w:p>
    <w:p w:rsidR="00DE07A5" w:rsidRPr="00C03856" w:rsidRDefault="00DE07A5" w:rsidP="003440BD">
      <w:pPr>
        <w:widowControl w:val="0"/>
        <w:ind w:right="-173" w:firstLine="709"/>
        <w:jc w:val="both"/>
      </w:pPr>
      <w:r w:rsidRPr="00C03856">
        <w:t>Изделие должно быть изготовлено с учетом анатомических дефектов,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DE07A5" w:rsidRPr="00C03856" w:rsidRDefault="00DE07A5" w:rsidP="003440BD">
      <w:pPr>
        <w:widowControl w:val="0"/>
        <w:ind w:right="-173" w:firstLine="709"/>
        <w:jc w:val="both"/>
      </w:pPr>
      <w:r w:rsidRPr="00C03856">
        <w:t xml:space="preserve">Протез должен соответствовать требованиям ГОСТ Р 51632-2021 «Технические средства реабилитации людей с ограничениями жизнедеятельности. Общие технические требования и методы испытаний», ГОСТ ISO 10993-1-2021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03856">
        <w:t>цитотоксичность</w:t>
      </w:r>
      <w:proofErr w:type="spellEnd"/>
      <w:r w:rsidRPr="00C03856">
        <w:t xml:space="preserve">: методы </w:t>
      </w:r>
      <w:proofErr w:type="spellStart"/>
      <w:r w:rsidRPr="00C03856">
        <w:t>invitro</w:t>
      </w:r>
      <w:proofErr w:type="spellEnd"/>
      <w:r w:rsidRPr="00C03856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10993-11-2021 «Изделия медицинские. Оценка биологического действия медицинских изделий. Часть 11. Исследования общетоксического действия»</w:t>
      </w:r>
    </w:p>
    <w:p w:rsidR="00DE07A5" w:rsidRPr="00C03856" w:rsidRDefault="00DE07A5" w:rsidP="003440BD">
      <w:pPr>
        <w:widowControl w:val="0"/>
        <w:ind w:right="-173" w:firstLine="709"/>
        <w:jc w:val="both"/>
      </w:pPr>
      <w:r w:rsidRPr="00C03856"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DE07A5" w:rsidRPr="00C03856" w:rsidRDefault="00DE07A5" w:rsidP="003440BD">
      <w:pPr>
        <w:widowControl w:val="0"/>
        <w:ind w:right="-173" w:firstLine="709"/>
        <w:jc w:val="both"/>
      </w:pPr>
    </w:p>
    <w:p w:rsidR="00DE07A5" w:rsidRPr="00C03856" w:rsidRDefault="00DE07A5" w:rsidP="003440BD">
      <w:pPr>
        <w:widowControl w:val="0"/>
        <w:ind w:right="-173" w:firstLine="709"/>
        <w:jc w:val="center"/>
        <w:rPr>
          <w:b/>
        </w:rPr>
      </w:pPr>
      <w:r w:rsidRPr="00C03856">
        <w:rPr>
          <w:b/>
        </w:rPr>
        <w:t>Требования к безопасности работ</w:t>
      </w:r>
    </w:p>
    <w:p w:rsidR="00DE07A5" w:rsidRPr="00C03856" w:rsidRDefault="00DE07A5" w:rsidP="003440BD">
      <w:pPr>
        <w:widowControl w:val="0"/>
        <w:ind w:right="-173" w:firstLine="709"/>
        <w:jc w:val="both"/>
      </w:pPr>
      <w:r w:rsidRPr="00C03856">
        <w:t>Проведение работ по обеспечению инвалида протезом должны осуществляться в соответствии с требованиями, установленными законодательством Российской Федерации на основании сертификатов (деклараций) соответствия и протоколов испытаний.</w:t>
      </w:r>
    </w:p>
    <w:p w:rsidR="00DE07A5" w:rsidRPr="00C03856" w:rsidRDefault="00DE07A5" w:rsidP="003440BD">
      <w:pPr>
        <w:widowControl w:val="0"/>
        <w:ind w:right="-173" w:firstLine="709"/>
        <w:jc w:val="both"/>
      </w:pPr>
    </w:p>
    <w:p w:rsidR="00DE07A5" w:rsidRPr="00C03856" w:rsidRDefault="00DE07A5" w:rsidP="003440BD">
      <w:pPr>
        <w:widowControl w:val="0"/>
        <w:ind w:right="-173" w:firstLine="709"/>
        <w:jc w:val="center"/>
        <w:rPr>
          <w:b/>
        </w:rPr>
      </w:pPr>
      <w:r w:rsidRPr="00C03856">
        <w:rPr>
          <w:b/>
        </w:rPr>
        <w:t>Требования к результатам работ</w:t>
      </w:r>
    </w:p>
    <w:p w:rsidR="00DE07A5" w:rsidRPr="00C03856" w:rsidRDefault="00DE07A5" w:rsidP="003440BD">
      <w:pPr>
        <w:widowControl w:val="0"/>
        <w:ind w:right="-173" w:firstLine="709"/>
        <w:jc w:val="both"/>
        <w:rPr>
          <w:rFonts w:eastAsia="Calibri"/>
          <w:color w:val="000000"/>
        </w:rPr>
      </w:pPr>
      <w:r w:rsidRPr="00C03856">
        <w:rPr>
          <w:rFonts w:eastAsia="Calibri"/>
          <w:color w:val="000000"/>
        </w:rPr>
        <w:t>Работы по обеспечению протезом эффективно исполнены, если у инвалида восстановлены опорная и двигательная функции конечности, созданы условия для предупреждения развития деформации и благоприятного течения болезни. Работы по обеспечению протезом должны выполняться с надлежащим качеством и в установленные сроки.</w:t>
      </w:r>
    </w:p>
    <w:p w:rsidR="00DE07A5" w:rsidRPr="00C03856" w:rsidRDefault="00DE07A5" w:rsidP="003440BD">
      <w:pPr>
        <w:widowControl w:val="0"/>
        <w:ind w:right="-173" w:firstLine="709"/>
        <w:jc w:val="center"/>
        <w:rPr>
          <w:b/>
        </w:rPr>
      </w:pPr>
      <w:r w:rsidRPr="00C03856">
        <w:rPr>
          <w:b/>
        </w:rPr>
        <w:lastRenderedPageBreak/>
        <w:t>Место, условия и сроки (периоды) выполнения работ</w:t>
      </w:r>
    </w:p>
    <w:p w:rsidR="00DE07A5" w:rsidRPr="00C03856" w:rsidRDefault="00DE07A5" w:rsidP="003440BD">
      <w:pPr>
        <w:widowControl w:val="0"/>
        <w:ind w:right="-173" w:firstLine="709"/>
        <w:jc w:val="both"/>
      </w:pPr>
      <w:r w:rsidRPr="00C03856">
        <w:t xml:space="preserve">В соответствии с приказом Минтруда России от 05.03.2021 № 107н «Об утверждении сроков пользования техническими средствами реабилитации, протезами и </w:t>
      </w:r>
      <w:proofErr w:type="spellStart"/>
      <w:r w:rsidRPr="00C03856">
        <w:t>протезно</w:t>
      </w:r>
      <w:proofErr w:type="spellEnd"/>
      <w:r w:rsidRPr="00C03856">
        <w:t xml:space="preserve">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</w:t>
      </w:r>
    </w:p>
    <w:p w:rsidR="00DE07A5" w:rsidRPr="00C03856" w:rsidRDefault="00DE07A5" w:rsidP="003440BD">
      <w:pPr>
        <w:widowControl w:val="0"/>
        <w:ind w:right="-173" w:firstLine="709"/>
        <w:jc w:val="both"/>
      </w:pPr>
      <w:r w:rsidRPr="00C03856">
        <w:t>Срок предоставления гарантии должен составлять не менее 12 месяцев с момента выдачи изделия Получателю. В течение гарантийного срока Исполнитель производит замену или ремонт изделия бесплатно. Срок выполнения гарантийного ремонта со дня обращения Получателя не превышает 20 рабочих дней.</w:t>
      </w:r>
    </w:p>
    <w:p w:rsidR="00DE07A5" w:rsidRPr="00C03856" w:rsidRDefault="00DE07A5" w:rsidP="003440BD">
      <w:pPr>
        <w:widowControl w:val="0"/>
        <w:ind w:right="-173" w:firstLine="709"/>
        <w:jc w:val="both"/>
        <w:rPr>
          <w:b/>
        </w:rPr>
      </w:pPr>
    </w:p>
    <w:p w:rsidR="00DE07A5" w:rsidRPr="00C03856" w:rsidRDefault="00DE07A5" w:rsidP="003440BD">
      <w:pPr>
        <w:widowControl w:val="0"/>
        <w:ind w:right="-173" w:firstLine="709"/>
        <w:jc w:val="both"/>
      </w:pPr>
      <w:r w:rsidRPr="00C03856">
        <w:rPr>
          <w:b/>
        </w:rPr>
        <w:t>Условия и сроки (периоды) выполнения работ</w:t>
      </w:r>
      <w:r w:rsidRPr="00C03856">
        <w:t>: срок изготовления протезно-ортопедического изделия не должен превышать 60 (шестьдесят) календарных дней со дня обращения Получателя с направлением Заказчика. Срок завершения работ должен быть не позднее 01.12.2022 года.</w:t>
      </w:r>
    </w:p>
    <w:p w:rsidR="00DE07A5" w:rsidRPr="00C03856" w:rsidRDefault="00DE07A5" w:rsidP="003440BD">
      <w:pPr>
        <w:widowControl w:val="0"/>
        <w:ind w:right="-173" w:firstLine="709"/>
        <w:jc w:val="both"/>
      </w:pPr>
    </w:p>
    <w:p w:rsidR="00DE07A5" w:rsidRDefault="00DE07A5" w:rsidP="003440BD">
      <w:pPr>
        <w:widowControl w:val="0"/>
        <w:ind w:right="-173" w:firstLine="709"/>
        <w:jc w:val="both"/>
      </w:pPr>
      <w:r w:rsidRPr="00C03856">
        <w:rPr>
          <w:b/>
        </w:rPr>
        <w:t>Место доставки товара, выполнения работ, оказания услуг:</w:t>
      </w:r>
      <w:r w:rsidRPr="00C03856">
        <w:t xml:space="preserve"> </w:t>
      </w:r>
      <w:r>
        <w:t xml:space="preserve">г. </w:t>
      </w:r>
      <w:r w:rsidRPr="00C03856">
        <w:t>Краснодар, Краснодарский край по месту нахождения Исполнителя.</w:t>
      </w:r>
    </w:p>
    <w:p w:rsidR="00DE07A5" w:rsidRPr="00C03856" w:rsidRDefault="00DE07A5" w:rsidP="003440BD">
      <w:pPr>
        <w:widowControl w:val="0"/>
        <w:ind w:right="-173" w:firstLine="709"/>
        <w:jc w:val="both"/>
      </w:pPr>
    </w:p>
    <w:p w:rsidR="00DE07A5" w:rsidRPr="000D352A" w:rsidRDefault="00DE07A5" w:rsidP="003440BD">
      <w:pPr>
        <w:widowControl w:val="0"/>
        <w:tabs>
          <w:tab w:val="left" w:pos="3828"/>
          <w:tab w:val="center" w:pos="5244"/>
        </w:tabs>
        <w:ind w:right="-173" w:firstLine="709"/>
        <w:jc w:val="both"/>
      </w:pPr>
      <w:r w:rsidRPr="00C03856">
        <w:rPr>
          <w:b/>
        </w:rPr>
        <w:t>Требования к гарантийному сроку товаров, выполнения работ, оказания услуг и (или) объему предоставления гарантий их качества, к гарантийному обслуживанию товаров, к расходам на эксплуатацию товаров и др</w:t>
      </w:r>
      <w:r w:rsidRPr="000D352A">
        <w:t>.:</w:t>
      </w:r>
      <w:r>
        <w:t xml:space="preserve"> Срок предоставления гарантии должен составлять не менее 12 месяцев с момента выдачи изделия Получателю. В течение гарантийного срока Исполнитель должен производить замену или ремонт изделия бесплатно. Срок выполнения гарантийного ремонта со дня обращения Получателя не должен превышать 20 рабочих дней.</w:t>
      </w:r>
    </w:p>
    <w:p w:rsidR="003A0502" w:rsidRDefault="003A0502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sectPr w:rsidR="003A0502" w:rsidSect="004A3DD3">
      <w:pgSz w:w="16838" w:h="11906" w:orient="landscape" w:code="9"/>
      <w:pgMar w:top="567" w:right="99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3A0502" w:rsidRDefault="003A0502" w:rsidP="003A0502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3A0502" w:rsidRDefault="003A0502" w:rsidP="003A0502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40BD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26CF"/>
    <w:rsid w:val="00724E45"/>
    <w:rsid w:val="007305BE"/>
    <w:rsid w:val="007356BB"/>
    <w:rsid w:val="00746719"/>
    <w:rsid w:val="00754FCA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5EC7"/>
    <w:rsid w:val="00F37C4A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AC70-EC72-40DF-A989-1C40FE60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Лысова Нелли Владимировна</cp:lastModifiedBy>
  <cp:revision>39</cp:revision>
  <cp:lastPrinted>2022-05-26T06:37:00Z</cp:lastPrinted>
  <dcterms:created xsi:type="dcterms:W3CDTF">2022-05-27T10:11:00Z</dcterms:created>
  <dcterms:modified xsi:type="dcterms:W3CDTF">2022-06-21T11:53:00Z</dcterms:modified>
</cp:coreProperties>
</file>