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2" w:rsidRDefault="00FF7902" w:rsidP="00FF7902">
      <w:pPr>
        <w:jc w:val="both"/>
        <w:rPr>
          <w:b/>
        </w:rPr>
      </w:pPr>
    </w:p>
    <w:p w:rsidR="00C13BAF" w:rsidRDefault="00C13BAF" w:rsidP="009A4C9B">
      <w:pPr>
        <w:spacing w:after="160" w:line="259" w:lineRule="auto"/>
        <w:jc w:val="both"/>
        <w:rPr>
          <w:b/>
          <w:bCs/>
          <w:kern w:val="1"/>
        </w:rPr>
      </w:pPr>
      <w:r>
        <w:rPr>
          <w:b/>
          <w:bCs/>
          <w:kern w:val="2"/>
        </w:rPr>
        <w:t>Место выполнения работ:</w:t>
      </w:r>
      <w:r w:rsidRPr="00C13BAF">
        <w:t xml:space="preserve"> </w:t>
      </w:r>
      <w:r w:rsidR="004B0A71" w:rsidRPr="000D6C82">
        <w:rPr>
          <w:rFonts w:eastAsia="Andale Sans UI"/>
          <w:kern w:val="2"/>
          <w:lang w:eastAsia="ar-SA"/>
        </w:rPr>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0102" w:rsidRPr="00F20102">
        <w:t xml:space="preserve">Выдать готовое изделие, соответствующее техническому заданию контракта непосредственно Получателю на основании направления в не более 60 календарных дней с момента получения от Заказчика списков Получателей, Последняя выдача Изделий Получателям в рамках государственного контракта должна быть осуществлена не позднее 30 </w:t>
      </w:r>
      <w:r w:rsidR="0065239A">
        <w:rPr>
          <w:rFonts w:eastAsia="Andale Sans UI"/>
          <w:kern w:val="2"/>
          <w:lang w:eastAsia="ar-SA"/>
        </w:rPr>
        <w:t>июня</w:t>
      </w:r>
      <w:r w:rsidR="0032596B">
        <w:rPr>
          <w:rFonts w:eastAsia="Andale Sans UI"/>
          <w:kern w:val="2"/>
          <w:lang w:eastAsia="ar-SA"/>
        </w:rPr>
        <w:t xml:space="preserve"> </w:t>
      </w:r>
      <w:r w:rsidR="00F20102" w:rsidRPr="00F20102">
        <w:t>202</w:t>
      </w:r>
      <w:r w:rsidR="0065239A">
        <w:t>3</w:t>
      </w:r>
      <w:r w:rsidR="00D345B3">
        <w:t xml:space="preserve"> года</w:t>
      </w:r>
      <w:r w:rsidR="00F20102" w:rsidRPr="00F20102">
        <w:t>.</w:t>
      </w:r>
    </w:p>
    <w:p w:rsidR="00D7115C"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xml:space="preserve">, объем </w:t>
      </w:r>
      <w:bookmarkStart w:id="0" w:name="_GoBack"/>
      <w:bookmarkEnd w:id="0"/>
      <w:r w:rsidRPr="00DB3240">
        <w:t>выполняемых работ, оказываемых услуг:</w:t>
      </w:r>
    </w:p>
    <w:tbl>
      <w:tblPr>
        <w:tblW w:w="5000" w:type="pct"/>
        <w:tblLook w:val="04A0" w:firstRow="1" w:lastRow="0" w:firstColumn="1" w:lastColumn="0" w:noHBand="0" w:noVBand="1"/>
      </w:tblPr>
      <w:tblGrid>
        <w:gridCol w:w="704"/>
        <w:gridCol w:w="2517"/>
        <w:gridCol w:w="3527"/>
        <w:gridCol w:w="1817"/>
        <w:gridCol w:w="814"/>
        <w:gridCol w:w="816"/>
      </w:tblGrid>
      <w:tr w:rsidR="008A565A" w:rsidRPr="008A565A" w:rsidTr="008A565A">
        <w:trPr>
          <w:trHeight w:val="637"/>
        </w:trPr>
        <w:tc>
          <w:tcPr>
            <w:tcW w:w="345" w:type="pct"/>
            <w:tcBorders>
              <w:top w:val="single" w:sz="4" w:space="0" w:color="000000"/>
              <w:left w:val="single" w:sz="4" w:space="0" w:color="000000"/>
              <w:bottom w:val="single" w:sz="4" w:space="0" w:color="000000"/>
              <w:right w:val="nil"/>
            </w:tcBorders>
            <w:vAlign w:val="center"/>
            <w:hideMark/>
          </w:tcPr>
          <w:p w:rsidR="008A565A" w:rsidRPr="008A565A" w:rsidRDefault="008A565A" w:rsidP="008A565A">
            <w:pPr>
              <w:autoSpaceDE w:val="0"/>
              <w:autoSpaceDN w:val="0"/>
              <w:adjustRightInd w:val="0"/>
              <w:ind w:hanging="20"/>
              <w:jc w:val="center"/>
            </w:pPr>
            <w:r w:rsidRPr="008A565A">
              <w:t>№</w:t>
            </w:r>
          </w:p>
          <w:p w:rsidR="008A565A" w:rsidRPr="008A565A" w:rsidRDefault="008A565A" w:rsidP="008A565A">
            <w:pPr>
              <w:autoSpaceDE w:val="0"/>
              <w:autoSpaceDN w:val="0"/>
              <w:adjustRightInd w:val="0"/>
              <w:ind w:hanging="20"/>
              <w:jc w:val="center"/>
            </w:pPr>
            <w:r w:rsidRPr="008A565A">
              <w:t>п/п</w:t>
            </w:r>
          </w:p>
        </w:tc>
        <w:tc>
          <w:tcPr>
            <w:tcW w:w="1234" w:type="pct"/>
            <w:tcBorders>
              <w:top w:val="single" w:sz="4" w:space="0" w:color="000000"/>
              <w:left w:val="single" w:sz="4" w:space="0" w:color="000000"/>
              <w:bottom w:val="single" w:sz="4" w:space="0" w:color="000000"/>
              <w:right w:val="nil"/>
            </w:tcBorders>
            <w:vAlign w:val="center"/>
            <w:hideMark/>
          </w:tcPr>
          <w:p w:rsidR="008A565A" w:rsidRPr="008A565A" w:rsidRDefault="008A565A" w:rsidP="008A565A">
            <w:pPr>
              <w:autoSpaceDE w:val="0"/>
              <w:autoSpaceDN w:val="0"/>
              <w:adjustRightInd w:val="0"/>
              <w:ind w:firstLine="8"/>
              <w:jc w:val="center"/>
            </w:pPr>
            <w:r w:rsidRPr="008A565A">
              <w:t>Наименование</w:t>
            </w:r>
          </w:p>
        </w:tc>
        <w:tc>
          <w:tcPr>
            <w:tcW w:w="1730" w:type="pct"/>
            <w:tcBorders>
              <w:top w:val="single" w:sz="4" w:space="0" w:color="000000"/>
              <w:left w:val="single" w:sz="4" w:space="0" w:color="000000"/>
              <w:bottom w:val="single" w:sz="4" w:space="0" w:color="000000"/>
              <w:right w:val="nil"/>
            </w:tcBorders>
            <w:vAlign w:val="center"/>
            <w:hideMark/>
          </w:tcPr>
          <w:p w:rsidR="008A565A" w:rsidRPr="008A565A" w:rsidRDefault="008A565A" w:rsidP="008A565A">
            <w:pPr>
              <w:autoSpaceDE w:val="0"/>
              <w:autoSpaceDN w:val="0"/>
              <w:adjustRightInd w:val="0"/>
              <w:ind w:hanging="82"/>
              <w:jc w:val="center"/>
            </w:pPr>
            <w:r w:rsidRPr="008A565A">
              <w:t>Наименование показателя</w:t>
            </w:r>
          </w:p>
        </w:tc>
        <w:tc>
          <w:tcPr>
            <w:tcW w:w="891" w:type="pct"/>
            <w:tcBorders>
              <w:top w:val="single" w:sz="4" w:space="0" w:color="000000"/>
              <w:left w:val="single" w:sz="4" w:space="0" w:color="000000"/>
              <w:bottom w:val="single" w:sz="4" w:space="0" w:color="000000"/>
              <w:right w:val="nil"/>
            </w:tcBorders>
            <w:vAlign w:val="center"/>
            <w:hideMark/>
          </w:tcPr>
          <w:p w:rsidR="008A565A" w:rsidRPr="008A565A" w:rsidRDefault="008A565A" w:rsidP="008A565A">
            <w:pPr>
              <w:widowControl w:val="0"/>
              <w:suppressAutoHyphens/>
              <w:jc w:val="center"/>
              <w:rPr>
                <w:rFonts w:eastAsia="Andale Sans UI"/>
                <w:kern w:val="1"/>
                <w:lang w:eastAsia="ar-SA"/>
              </w:rPr>
            </w:pPr>
            <w:r w:rsidRPr="008A565A">
              <w:rPr>
                <w:rFonts w:eastAsia="Andale Sans UI"/>
                <w:kern w:val="1"/>
                <w:lang w:eastAsia="ar-SA"/>
              </w:rPr>
              <w:t>Наименование показателя</w:t>
            </w:r>
          </w:p>
          <w:p w:rsidR="008A565A" w:rsidRPr="008A565A" w:rsidRDefault="008A565A" w:rsidP="008A565A">
            <w:pPr>
              <w:widowControl w:val="0"/>
              <w:suppressAutoHyphens/>
              <w:jc w:val="center"/>
              <w:rPr>
                <w:rFonts w:eastAsia="Andale Sans UI"/>
                <w:color w:val="FF0000"/>
                <w:kern w:val="1"/>
                <w:lang w:eastAsia="ar-SA"/>
              </w:rPr>
            </w:pPr>
            <w:r w:rsidRPr="008A565A">
              <w:rPr>
                <w:rFonts w:eastAsia="Andale Sans UI"/>
                <w:color w:val="FF0000"/>
                <w:kern w:val="1"/>
                <w:lang w:eastAsia="ar-SA"/>
              </w:rPr>
              <w:t>(неизменяемое)</w:t>
            </w:r>
          </w:p>
        </w:tc>
        <w:tc>
          <w:tcPr>
            <w:tcW w:w="399" w:type="pct"/>
            <w:tcBorders>
              <w:top w:val="single" w:sz="4" w:space="0" w:color="000000"/>
              <w:left w:val="single" w:sz="4" w:space="0" w:color="000000"/>
              <w:bottom w:val="single" w:sz="4" w:space="0" w:color="000000"/>
              <w:right w:val="single" w:sz="4" w:space="0" w:color="auto"/>
            </w:tcBorders>
            <w:vAlign w:val="center"/>
          </w:tcPr>
          <w:p w:rsidR="008A565A" w:rsidRPr="008A565A" w:rsidRDefault="008A565A" w:rsidP="008A565A">
            <w:pPr>
              <w:autoSpaceDE w:val="0"/>
              <w:autoSpaceDN w:val="0"/>
              <w:adjustRightInd w:val="0"/>
              <w:ind w:firstLine="77"/>
              <w:jc w:val="center"/>
            </w:pPr>
            <w:r w:rsidRPr="008A565A">
              <w:t>Ед. изм.</w:t>
            </w:r>
          </w:p>
        </w:tc>
        <w:tc>
          <w:tcPr>
            <w:tcW w:w="400" w:type="pct"/>
            <w:tcBorders>
              <w:top w:val="single" w:sz="4" w:space="0" w:color="000000"/>
              <w:left w:val="single" w:sz="4" w:space="0" w:color="000000"/>
              <w:bottom w:val="single" w:sz="4" w:space="0" w:color="000000"/>
              <w:right w:val="single" w:sz="4" w:space="0" w:color="auto"/>
            </w:tcBorders>
            <w:vAlign w:val="center"/>
          </w:tcPr>
          <w:p w:rsidR="008A565A" w:rsidRPr="008A565A" w:rsidRDefault="008A565A" w:rsidP="008A565A">
            <w:pPr>
              <w:autoSpaceDE w:val="0"/>
              <w:autoSpaceDN w:val="0"/>
              <w:adjustRightInd w:val="0"/>
              <w:ind w:firstLine="77"/>
              <w:jc w:val="center"/>
            </w:pPr>
            <w:r w:rsidRPr="008A565A">
              <w:t>Кол-во</w:t>
            </w:r>
          </w:p>
        </w:tc>
      </w:tr>
      <w:tr w:rsidR="008A565A" w:rsidRPr="008A565A" w:rsidTr="008A565A">
        <w:trPr>
          <w:trHeight w:val="416"/>
        </w:trPr>
        <w:tc>
          <w:tcPr>
            <w:tcW w:w="345" w:type="pct"/>
            <w:tcBorders>
              <w:top w:val="single" w:sz="4" w:space="0" w:color="000000"/>
              <w:left w:val="single" w:sz="4" w:space="0" w:color="000000"/>
              <w:bottom w:val="single" w:sz="4" w:space="0" w:color="000000"/>
              <w:right w:val="nil"/>
            </w:tcBorders>
          </w:tcPr>
          <w:p w:rsidR="008A565A" w:rsidRPr="008A565A" w:rsidRDefault="008A565A" w:rsidP="008A565A">
            <w:pPr>
              <w:autoSpaceDE w:val="0"/>
              <w:autoSpaceDN w:val="0"/>
              <w:adjustRightInd w:val="0"/>
              <w:jc w:val="center"/>
            </w:pPr>
            <w:r w:rsidRPr="008A565A">
              <w:t>1</w:t>
            </w:r>
          </w:p>
        </w:tc>
        <w:tc>
          <w:tcPr>
            <w:tcW w:w="1234" w:type="pct"/>
            <w:tcBorders>
              <w:top w:val="single" w:sz="4" w:space="0" w:color="000000"/>
              <w:left w:val="single" w:sz="4" w:space="0" w:color="000000"/>
              <w:bottom w:val="single" w:sz="4" w:space="0" w:color="000000"/>
              <w:right w:val="nil"/>
            </w:tcBorders>
          </w:tcPr>
          <w:p w:rsidR="008A565A" w:rsidRPr="008A565A" w:rsidRDefault="008A565A" w:rsidP="002B6B08">
            <w:r w:rsidRPr="008A565A">
              <w:t>8-03-01 Протез кисти активный (тяговый)</w:t>
            </w:r>
          </w:p>
        </w:tc>
        <w:tc>
          <w:tcPr>
            <w:tcW w:w="1730" w:type="pct"/>
            <w:tcBorders>
              <w:top w:val="single" w:sz="4" w:space="0" w:color="000000"/>
              <w:left w:val="single" w:sz="4" w:space="0" w:color="000000"/>
              <w:bottom w:val="single" w:sz="4" w:space="0" w:color="000000"/>
              <w:right w:val="nil"/>
            </w:tcBorders>
          </w:tcPr>
          <w:p w:rsidR="008A565A" w:rsidRPr="008A565A" w:rsidRDefault="008A565A" w:rsidP="002B6B08">
            <w:pPr>
              <w:autoSpaceDE w:val="0"/>
              <w:autoSpaceDN w:val="0"/>
              <w:adjustRightInd w:val="0"/>
              <w:jc w:val="both"/>
            </w:pPr>
            <w:r w:rsidRPr="008A565A">
              <w:t>Протез предназначен для компенсации врожденных и ампутационных дефектов кисти, при сохранении лучезапястного сустава. Протез состоит из двух частей – каркасные/активные элементы  и приемная гильза. Гильза изготавливается по слепку, путем ламинирования, непосредственно по культе и имеет две шарнирно соединенные части, одна из которых фиксируется на предплечье, вторая плотно облегает культю кисти. Функция схвата осуществляется за счет движений в лучезапястном суставе. Протез позволяет выполнять приведение и отведение кисти, в случае сохранения такой возможности культи кисти. Каркасные/активные элементы изготавливаются по технологиям трехмерной печати</w:t>
            </w:r>
          </w:p>
        </w:tc>
        <w:tc>
          <w:tcPr>
            <w:tcW w:w="891" w:type="pct"/>
            <w:tcBorders>
              <w:top w:val="single" w:sz="4" w:space="0" w:color="000000"/>
              <w:left w:val="single" w:sz="4" w:space="0" w:color="000000"/>
              <w:bottom w:val="single" w:sz="4" w:space="0" w:color="000000"/>
              <w:right w:val="nil"/>
            </w:tcBorders>
          </w:tcPr>
          <w:p w:rsidR="008A565A" w:rsidRPr="008A565A" w:rsidRDefault="008A565A" w:rsidP="002B6B08">
            <w:pPr>
              <w:autoSpaceDE w:val="0"/>
              <w:autoSpaceDN w:val="0"/>
              <w:adjustRightInd w:val="0"/>
              <w:jc w:val="both"/>
            </w:pPr>
            <w:r w:rsidRPr="008A565A">
              <w:t>Соответствует</w:t>
            </w:r>
          </w:p>
        </w:tc>
        <w:tc>
          <w:tcPr>
            <w:tcW w:w="399" w:type="pct"/>
            <w:tcBorders>
              <w:top w:val="single" w:sz="4" w:space="0" w:color="000000"/>
              <w:left w:val="single" w:sz="4" w:space="0" w:color="000000"/>
              <w:bottom w:val="single" w:sz="4" w:space="0" w:color="000000"/>
              <w:right w:val="single" w:sz="4" w:space="0" w:color="000000"/>
            </w:tcBorders>
          </w:tcPr>
          <w:p w:rsidR="008A565A" w:rsidRPr="008A565A" w:rsidRDefault="008A565A" w:rsidP="002B6B08">
            <w:pPr>
              <w:autoSpaceDE w:val="0"/>
              <w:autoSpaceDN w:val="0"/>
              <w:adjustRightInd w:val="0"/>
            </w:pPr>
            <w:r w:rsidRPr="008A565A">
              <w:t>Шт.</w:t>
            </w:r>
          </w:p>
        </w:tc>
        <w:tc>
          <w:tcPr>
            <w:tcW w:w="400" w:type="pct"/>
            <w:tcBorders>
              <w:top w:val="single" w:sz="4" w:space="0" w:color="000000"/>
              <w:left w:val="single" w:sz="4" w:space="0" w:color="000000"/>
              <w:bottom w:val="single" w:sz="4" w:space="0" w:color="000000"/>
              <w:right w:val="single" w:sz="4" w:space="0" w:color="000000"/>
            </w:tcBorders>
          </w:tcPr>
          <w:p w:rsidR="008A565A" w:rsidRPr="008A565A" w:rsidRDefault="008A565A" w:rsidP="002B6B08">
            <w:pPr>
              <w:autoSpaceDE w:val="0"/>
              <w:autoSpaceDN w:val="0"/>
              <w:adjustRightInd w:val="0"/>
              <w:jc w:val="center"/>
            </w:pPr>
            <w:r w:rsidRPr="008A565A">
              <w:t>2</w:t>
            </w:r>
          </w:p>
        </w:tc>
      </w:tr>
      <w:tr w:rsidR="008A565A" w:rsidRPr="008A565A" w:rsidTr="008A565A">
        <w:trPr>
          <w:trHeight w:val="416"/>
        </w:trPr>
        <w:tc>
          <w:tcPr>
            <w:tcW w:w="345" w:type="pct"/>
            <w:tcBorders>
              <w:top w:val="single" w:sz="4" w:space="0" w:color="000000"/>
              <w:left w:val="single" w:sz="4" w:space="0" w:color="000000"/>
              <w:bottom w:val="single" w:sz="4" w:space="0" w:color="000000"/>
              <w:right w:val="nil"/>
            </w:tcBorders>
          </w:tcPr>
          <w:p w:rsidR="008A565A" w:rsidRPr="008A565A" w:rsidRDefault="008A565A" w:rsidP="008A565A">
            <w:pPr>
              <w:autoSpaceDE w:val="0"/>
              <w:autoSpaceDN w:val="0"/>
              <w:adjustRightInd w:val="0"/>
              <w:jc w:val="center"/>
            </w:pPr>
            <w:r w:rsidRPr="008A565A">
              <w:t>2</w:t>
            </w:r>
          </w:p>
        </w:tc>
        <w:tc>
          <w:tcPr>
            <w:tcW w:w="1234" w:type="pct"/>
            <w:tcBorders>
              <w:top w:val="single" w:sz="4" w:space="0" w:color="000000"/>
              <w:left w:val="single" w:sz="4" w:space="0" w:color="000000"/>
              <w:bottom w:val="single" w:sz="4" w:space="0" w:color="000000"/>
              <w:right w:val="nil"/>
            </w:tcBorders>
          </w:tcPr>
          <w:p w:rsidR="008A565A" w:rsidRPr="008A565A" w:rsidRDefault="008A565A" w:rsidP="002B6B08">
            <w:r w:rsidRPr="008A565A">
              <w:t>8-03-02 Протез предплечья активный (тяговый)</w:t>
            </w:r>
          </w:p>
        </w:tc>
        <w:tc>
          <w:tcPr>
            <w:tcW w:w="1730" w:type="pct"/>
            <w:tcBorders>
              <w:top w:val="single" w:sz="4" w:space="0" w:color="000000"/>
              <w:left w:val="single" w:sz="4" w:space="0" w:color="000000"/>
              <w:bottom w:val="single" w:sz="4" w:space="0" w:color="000000"/>
              <w:right w:val="nil"/>
            </w:tcBorders>
          </w:tcPr>
          <w:p w:rsidR="008A565A" w:rsidRPr="008A565A" w:rsidRDefault="008A565A" w:rsidP="002B6B08">
            <w:pPr>
              <w:jc w:val="both"/>
            </w:pPr>
            <w:r w:rsidRPr="008A565A">
              <w:t xml:space="preserve">Протез предназначен для компенсации врожденных и ампутационных дефектов кисти, при сохранении лучезапястного сустава. Протез состоит из двух частей – каркасные/активные элементы  и приемная гильза. Гильза изготавливается по слепку, путем ламинирования, непосредственно по культе и имеет две шарнирно соединенные части, одна из которых фиксируется на предплечье, вторая плотно облегает культю кисти. </w:t>
            </w:r>
            <w:r w:rsidRPr="008A565A">
              <w:lastRenderedPageBreak/>
              <w:t>Функция схвата осуществляется за счет движений в лучезапястном суставе. Протез позволяет выполнять приведение и отведение кисти, в случае сохранения такой возможности культи кисти. Каркасные/активные элементы изготавливаются по технологиям трехмерной печати термолина или низкотемпературного пластика на культе пациента.</w:t>
            </w:r>
          </w:p>
        </w:tc>
        <w:tc>
          <w:tcPr>
            <w:tcW w:w="891" w:type="pct"/>
            <w:tcBorders>
              <w:top w:val="single" w:sz="4" w:space="0" w:color="000000"/>
              <w:left w:val="single" w:sz="4" w:space="0" w:color="000000"/>
              <w:bottom w:val="single" w:sz="4" w:space="0" w:color="000000"/>
              <w:right w:val="nil"/>
            </w:tcBorders>
          </w:tcPr>
          <w:p w:rsidR="008A565A" w:rsidRPr="008A565A" w:rsidRDefault="008A565A" w:rsidP="002B6B08">
            <w:pPr>
              <w:autoSpaceDE w:val="0"/>
              <w:autoSpaceDN w:val="0"/>
              <w:adjustRightInd w:val="0"/>
              <w:jc w:val="both"/>
            </w:pPr>
            <w:r w:rsidRPr="008A565A">
              <w:lastRenderedPageBreak/>
              <w:t>Соответствует</w:t>
            </w:r>
          </w:p>
        </w:tc>
        <w:tc>
          <w:tcPr>
            <w:tcW w:w="399" w:type="pct"/>
            <w:tcBorders>
              <w:top w:val="single" w:sz="4" w:space="0" w:color="000000"/>
              <w:left w:val="single" w:sz="4" w:space="0" w:color="000000"/>
              <w:bottom w:val="single" w:sz="4" w:space="0" w:color="000000"/>
              <w:right w:val="single" w:sz="4" w:space="0" w:color="000000"/>
            </w:tcBorders>
          </w:tcPr>
          <w:p w:rsidR="008A565A" w:rsidRPr="008A565A" w:rsidRDefault="008A565A" w:rsidP="002B6B08">
            <w:pPr>
              <w:autoSpaceDE w:val="0"/>
              <w:autoSpaceDN w:val="0"/>
              <w:adjustRightInd w:val="0"/>
            </w:pPr>
            <w:r w:rsidRPr="008A565A">
              <w:t>Шт.</w:t>
            </w:r>
          </w:p>
        </w:tc>
        <w:tc>
          <w:tcPr>
            <w:tcW w:w="400" w:type="pct"/>
            <w:tcBorders>
              <w:top w:val="single" w:sz="4" w:space="0" w:color="000000"/>
              <w:left w:val="single" w:sz="4" w:space="0" w:color="000000"/>
              <w:bottom w:val="single" w:sz="4" w:space="0" w:color="000000"/>
              <w:right w:val="single" w:sz="4" w:space="0" w:color="000000"/>
            </w:tcBorders>
          </w:tcPr>
          <w:p w:rsidR="008A565A" w:rsidRPr="008A565A" w:rsidRDefault="008A565A" w:rsidP="002B6B08">
            <w:pPr>
              <w:autoSpaceDE w:val="0"/>
              <w:autoSpaceDN w:val="0"/>
              <w:adjustRightInd w:val="0"/>
              <w:jc w:val="center"/>
            </w:pPr>
            <w:r w:rsidRPr="008A565A">
              <w:t>3</w:t>
            </w:r>
          </w:p>
        </w:tc>
      </w:tr>
    </w:tbl>
    <w:p w:rsidR="008A565A" w:rsidRDefault="008A565A" w:rsidP="008A565A">
      <w:pPr>
        <w:autoSpaceDE w:val="0"/>
        <w:autoSpaceDN w:val="0"/>
        <w:adjustRightInd w:val="0"/>
        <w:ind w:firstLine="540"/>
        <w:jc w:val="both"/>
      </w:pPr>
    </w:p>
    <w:p w:rsidR="008A565A" w:rsidRPr="00D07B62" w:rsidRDefault="008A565A" w:rsidP="008A565A">
      <w:pPr>
        <w:autoSpaceDE w:val="0"/>
        <w:autoSpaceDN w:val="0"/>
        <w:adjustRightInd w:val="0"/>
        <w:ind w:firstLine="540"/>
        <w:jc w:val="both"/>
      </w:pPr>
      <w:r w:rsidRPr="00D07B62">
        <w:t>Снятие мерок, примерка и выдача готовых Изделий в специализированных помещениях на территории Ханты-Мансийского автономного округа-Югры.</w:t>
      </w:r>
    </w:p>
    <w:p w:rsidR="008A565A" w:rsidRPr="00D07B62" w:rsidRDefault="008A565A" w:rsidP="008A565A">
      <w:pPr>
        <w:autoSpaceDE w:val="0"/>
        <w:autoSpaceDN w:val="0"/>
        <w:adjustRightInd w:val="0"/>
        <w:ind w:firstLine="540"/>
        <w:jc w:val="both"/>
      </w:pPr>
      <w:r w:rsidRPr="00D07B62">
        <w:t>Специализированные помещения в соответствии с приказом Министерства труда и социальной защиты Российской Федерации от 30.07.2015 года № 527н.</w:t>
      </w:r>
    </w:p>
    <w:p w:rsidR="008A565A" w:rsidRPr="00D07B62" w:rsidRDefault="008A565A" w:rsidP="008A565A">
      <w:pPr>
        <w:autoSpaceDE w:val="0"/>
        <w:autoSpaceDN w:val="0"/>
        <w:adjustRightInd w:val="0"/>
        <w:ind w:firstLine="540"/>
        <w:jc w:val="both"/>
      </w:pPr>
      <w:r w:rsidRPr="00D07B62">
        <w:t>График работы специализированных помещений, осуществляющих снятие мерок, приемку и выдачу готовых изделий: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w:t>
      </w:r>
    </w:p>
    <w:p w:rsidR="008A565A" w:rsidRPr="00EB3E6F" w:rsidRDefault="008A565A" w:rsidP="008A565A">
      <w:pPr>
        <w:autoSpaceDE w:val="0"/>
        <w:autoSpaceDN w:val="0"/>
        <w:adjustRightInd w:val="0"/>
        <w:ind w:firstLine="540"/>
        <w:jc w:val="both"/>
      </w:pPr>
      <w:r>
        <w:t>Подрядчик</w:t>
      </w:r>
      <w:r w:rsidRPr="00EB3E6F">
        <w:t xml:space="preserve"> гарантирует, что результаты работы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8A565A" w:rsidRPr="00EB3E6F" w:rsidRDefault="008A565A" w:rsidP="008A565A">
      <w:pPr>
        <w:autoSpaceDE w:val="0"/>
        <w:autoSpaceDN w:val="0"/>
        <w:adjustRightInd w:val="0"/>
        <w:ind w:firstLine="540"/>
        <w:jc w:val="both"/>
      </w:pPr>
      <w:r w:rsidRPr="00EB3E6F">
        <w:t xml:space="preserve">Гарантийный срок на выполненные работы устанавливается с дня подписания Акта-сдачи приемки работ и составляет не менее </w:t>
      </w:r>
      <w:r>
        <w:t>12</w:t>
      </w:r>
      <w:r w:rsidRPr="00EB3E6F">
        <w:t xml:space="preserve"> (</w:t>
      </w:r>
      <w:r>
        <w:t>Двенадцать</w:t>
      </w:r>
      <w:r w:rsidRPr="00EB3E6F">
        <w:t>) месяц</w:t>
      </w:r>
      <w:r>
        <w:t>ев</w:t>
      </w:r>
      <w:r w:rsidRPr="00EB3E6F">
        <w:t xml:space="preserve">. В течение этого срока </w:t>
      </w:r>
      <w:r>
        <w:t>Подрядчик</w:t>
      </w:r>
      <w:r w:rsidRPr="00EB3E6F">
        <w:t xml:space="preserve"> производит замену или ремонт изделия за счет собственных средств.</w:t>
      </w:r>
    </w:p>
    <w:p w:rsidR="008A565A" w:rsidRPr="00EB3E6F" w:rsidRDefault="008A565A" w:rsidP="008A565A">
      <w:pPr>
        <w:autoSpaceDE w:val="0"/>
        <w:autoSpaceDN w:val="0"/>
        <w:adjustRightInd w:val="0"/>
        <w:ind w:firstLine="540"/>
        <w:jc w:val="both"/>
      </w:pPr>
      <w:r w:rsidRPr="00EB3E6F">
        <w:t xml:space="preserve">В случае если производителем гарантийный срок на комплектующие изделия (полуфабрикаты) указан более </w:t>
      </w:r>
      <w:r w:rsidRPr="003F744C">
        <w:t>12 (Двенадцать) месяцев</w:t>
      </w:r>
      <w:r w:rsidRPr="00EB3E6F">
        <w:t xml:space="preserve">, </w:t>
      </w:r>
      <w:r>
        <w:t xml:space="preserve">Подрядчик производит замену </w:t>
      </w:r>
      <w:r w:rsidRPr="00EB3E6F">
        <w:t>полуфабрикатов в течение срока</w:t>
      </w:r>
      <w:r>
        <w:t>,</w:t>
      </w:r>
      <w:r w:rsidRPr="00EB3E6F">
        <w:t xml:space="preserve"> указанного производителем.</w:t>
      </w:r>
    </w:p>
    <w:p w:rsidR="008A565A" w:rsidRPr="00EB3E6F" w:rsidRDefault="008A565A" w:rsidP="008A565A">
      <w:pPr>
        <w:autoSpaceDE w:val="0"/>
        <w:autoSpaceDN w:val="0"/>
        <w:adjustRightInd w:val="0"/>
        <w:ind w:firstLine="540"/>
        <w:jc w:val="both"/>
      </w:pPr>
      <w:r w:rsidRPr="00EB3E6F">
        <w:t>Комплектующие изделия (полуфабрикаты) и материалы должны быть новыми.</w:t>
      </w:r>
    </w:p>
    <w:p w:rsidR="008A565A" w:rsidRDefault="008A565A" w:rsidP="008A565A">
      <w:pPr>
        <w:autoSpaceDE w:val="0"/>
        <w:autoSpaceDN w:val="0"/>
        <w:adjustRightInd w:val="0"/>
        <w:ind w:firstLine="540"/>
        <w:jc w:val="both"/>
      </w:pPr>
      <w:r w:rsidRPr="00EB3E6F">
        <w:t>Гарантия качества результата работ распространяется на все составляющие результата работ.</w:t>
      </w:r>
    </w:p>
    <w:p w:rsidR="008A565A" w:rsidRDefault="008A565A" w:rsidP="008A565A">
      <w:pPr>
        <w:autoSpaceDE w:val="0"/>
        <w:autoSpaceDN w:val="0"/>
        <w:adjustRightInd w:val="0"/>
        <w:ind w:firstLine="540"/>
        <w:jc w:val="both"/>
      </w:pPr>
      <w:r w:rsidRPr="00D1079F">
        <w:t>Пункты гарантийного обслуживания должны функционировать на терр</w:t>
      </w:r>
      <w:r>
        <w:t xml:space="preserve">итории Ханты-Мансийского округа в </w:t>
      </w:r>
      <w:r w:rsidRPr="00D1079F">
        <w:t>течении всего гарантийного срока.</w:t>
      </w:r>
    </w:p>
    <w:p w:rsidR="008A565A" w:rsidRPr="00EB3E6F" w:rsidRDefault="008A565A" w:rsidP="008A565A">
      <w:pPr>
        <w:autoSpaceDE w:val="0"/>
        <w:autoSpaceDN w:val="0"/>
        <w:adjustRightInd w:val="0"/>
        <w:ind w:firstLine="540"/>
        <w:jc w:val="both"/>
      </w:pPr>
      <w:r>
        <w:t>Г</w:t>
      </w:r>
      <w:r w:rsidRPr="00D1079F">
        <w:t>рафик работы специализированных помещений, осуществляющих гарантийное обслуживание на территории округа: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w:t>
      </w:r>
    </w:p>
    <w:p w:rsidR="008A565A" w:rsidRPr="00EB3E6F" w:rsidRDefault="008A565A" w:rsidP="008A565A">
      <w:pPr>
        <w:autoSpaceDE w:val="0"/>
        <w:autoSpaceDN w:val="0"/>
        <w:adjustRightInd w:val="0"/>
        <w:ind w:firstLine="540"/>
        <w:jc w:val="both"/>
      </w:pPr>
      <w:r w:rsidRPr="00EB3E6F">
        <w:t xml:space="preserve">Срок выполнения работ: </w:t>
      </w:r>
      <w:r w:rsidRPr="005A7FD7">
        <w:t>с момента заключения контракта</w:t>
      </w:r>
      <w:r>
        <w:t xml:space="preserve"> </w:t>
      </w:r>
      <w:r w:rsidRPr="005A7FD7">
        <w:t xml:space="preserve">до </w:t>
      </w:r>
      <w:r>
        <w:t>30</w:t>
      </w:r>
      <w:r w:rsidRPr="005A7FD7">
        <w:t xml:space="preserve"> </w:t>
      </w:r>
      <w:r>
        <w:t>июня</w:t>
      </w:r>
      <w:r w:rsidRPr="005A7FD7">
        <w:t xml:space="preserve"> 2023 года включительно</w:t>
      </w:r>
      <w:r w:rsidRPr="00EB3E6F">
        <w:t>.</w:t>
      </w:r>
    </w:p>
    <w:p w:rsidR="008A565A" w:rsidRPr="00EB3E6F" w:rsidRDefault="008A565A" w:rsidP="008A565A">
      <w:pPr>
        <w:autoSpaceDE w:val="0"/>
        <w:autoSpaceDN w:val="0"/>
        <w:adjustRightInd w:val="0"/>
        <w:ind w:firstLine="540"/>
        <w:jc w:val="both"/>
      </w:pPr>
      <w:r w:rsidRPr="00EB3E6F">
        <w:t xml:space="preserve">Действие контракта: Контракт вступает в силу с момента заключения и действует по 30 </w:t>
      </w:r>
      <w:r>
        <w:t>июля</w:t>
      </w:r>
      <w:r w:rsidRPr="00EB3E6F">
        <w:t xml:space="preserve"> 202</w:t>
      </w:r>
      <w:r>
        <w:t>3</w:t>
      </w:r>
      <w:r w:rsidRPr="00EB3E6F">
        <w:t xml:space="preserve"> года.</w:t>
      </w:r>
    </w:p>
    <w:p w:rsidR="008A565A" w:rsidRDefault="008A565A" w:rsidP="008A565A">
      <w:pPr>
        <w:autoSpaceDE w:val="0"/>
        <w:autoSpaceDN w:val="0"/>
        <w:adjustRightInd w:val="0"/>
        <w:ind w:firstLine="540"/>
        <w:jc w:val="both"/>
      </w:pPr>
      <w:r w:rsidRPr="00EB3E6F">
        <w:t>Соответс</w:t>
      </w:r>
      <w:r>
        <w:t>твие ГОСТа: ГОСТ ISO 10993-1-202</w:t>
      </w:r>
      <w:r w:rsidRPr="00EB3E6F">
        <w:t>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ортезы наружные требования и методы испытаний»</w:t>
      </w:r>
    </w:p>
    <w:p w:rsidR="008A565A" w:rsidRDefault="008A565A" w:rsidP="008A565A">
      <w:pPr>
        <w:autoSpaceDE w:val="0"/>
        <w:autoSpaceDN w:val="0"/>
        <w:adjustRightInd w:val="0"/>
        <w:jc w:val="both"/>
      </w:pPr>
      <w:r>
        <w:tab/>
      </w:r>
    </w:p>
    <w:p w:rsidR="008A565A" w:rsidRDefault="008A565A" w:rsidP="009A4C9B">
      <w:pPr>
        <w:spacing w:after="160" w:line="259" w:lineRule="auto"/>
        <w:jc w:val="both"/>
      </w:pPr>
    </w:p>
    <w:p w:rsidR="008A565A" w:rsidRDefault="008A565A" w:rsidP="009A4C9B">
      <w:pPr>
        <w:spacing w:after="160" w:line="259" w:lineRule="auto"/>
        <w:jc w:val="both"/>
      </w:pPr>
    </w:p>
    <w:p w:rsidR="00D345B3" w:rsidRDefault="00D345B3" w:rsidP="00D345B3">
      <w:pPr>
        <w:autoSpaceDE w:val="0"/>
        <w:autoSpaceDN w:val="0"/>
        <w:adjustRightInd w:val="0"/>
        <w:ind w:firstLine="540"/>
        <w:jc w:val="both"/>
        <w:rPr>
          <w:sz w:val="26"/>
          <w:szCs w:val="26"/>
        </w:rPr>
      </w:pPr>
    </w:p>
    <w:sectPr w:rsidR="00D345B3"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69" w:rsidRDefault="00076769" w:rsidP="00D7115C">
      <w:r>
        <w:separator/>
      </w:r>
    </w:p>
  </w:endnote>
  <w:endnote w:type="continuationSeparator" w:id="0">
    <w:p w:rsidR="00076769" w:rsidRDefault="00076769"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69" w:rsidRDefault="00076769" w:rsidP="00D7115C">
      <w:r>
        <w:separator/>
      </w:r>
    </w:p>
  </w:footnote>
  <w:footnote w:type="continuationSeparator" w:id="0">
    <w:p w:rsidR="00076769" w:rsidRDefault="00076769"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76769"/>
    <w:rsid w:val="000A357E"/>
    <w:rsid w:val="000A37D4"/>
    <w:rsid w:val="000D3DE0"/>
    <w:rsid w:val="00126DEB"/>
    <w:rsid w:val="001370D2"/>
    <w:rsid w:val="00181CF7"/>
    <w:rsid w:val="00195EEB"/>
    <w:rsid w:val="001A1B23"/>
    <w:rsid w:val="001C1494"/>
    <w:rsid w:val="00251D72"/>
    <w:rsid w:val="00292377"/>
    <w:rsid w:val="00310864"/>
    <w:rsid w:val="003210F2"/>
    <w:rsid w:val="0032596B"/>
    <w:rsid w:val="003322AA"/>
    <w:rsid w:val="00333A18"/>
    <w:rsid w:val="003C0632"/>
    <w:rsid w:val="003D486E"/>
    <w:rsid w:val="003E36EE"/>
    <w:rsid w:val="00427C62"/>
    <w:rsid w:val="00457089"/>
    <w:rsid w:val="004667AA"/>
    <w:rsid w:val="004B058A"/>
    <w:rsid w:val="004B0A71"/>
    <w:rsid w:val="004C04C5"/>
    <w:rsid w:val="004C1D05"/>
    <w:rsid w:val="004D497F"/>
    <w:rsid w:val="004F2140"/>
    <w:rsid w:val="0054353B"/>
    <w:rsid w:val="00585EDA"/>
    <w:rsid w:val="005935A0"/>
    <w:rsid w:val="005D4418"/>
    <w:rsid w:val="005F2386"/>
    <w:rsid w:val="0064079A"/>
    <w:rsid w:val="0065239A"/>
    <w:rsid w:val="006748AA"/>
    <w:rsid w:val="006D6FCA"/>
    <w:rsid w:val="006F603A"/>
    <w:rsid w:val="007214BD"/>
    <w:rsid w:val="007670F9"/>
    <w:rsid w:val="007A0C01"/>
    <w:rsid w:val="007C105E"/>
    <w:rsid w:val="007F2A0B"/>
    <w:rsid w:val="00812F5F"/>
    <w:rsid w:val="00842A50"/>
    <w:rsid w:val="00852E8C"/>
    <w:rsid w:val="00896D3D"/>
    <w:rsid w:val="008A00DE"/>
    <w:rsid w:val="008A35F0"/>
    <w:rsid w:val="008A565A"/>
    <w:rsid w:val="008D1CE7"/>
    <w:rsid w:val="009226AD"/>
    <w:rsid w:val="009277FE"/>
    <w:rsid w:val="009A4C9B"/>
    <w:rsid w:val="009C26AF"/>
    <w:rsid w:val="00A10A2B"/>
    <w:rsid w:val="00A244B5"/>
    <w:rsid w:val="00A520C7"/>
    <w:rsid w:val="00A54B05"/>
    <w:rsid w:val="00A978CB"/>
    <w:rsid w:val="00AC04AF"/>
    <w:rsid w:val="00AD58F0"/>
    <w:rsid w:val="00B05869"/>
    <w:rsid w:val="00B201AE"/>
    <w:rsid w:val="00B45B9E"/>
    <w:rsid w:val="00B63052"/>
    <w:rsid w:val="00BB7977"/>
    <w:rsid w:val="00BD0B4D"/>
    <w:rsid w:val="00BE167F"/>
    <w:rsid w:val="00C13BAF"/>
    <w:rsid w:val="00C1613C"/>
    <w:rsid w:val="00C937D4"/>
    <w:rsid w:val="00CA3011"/>
    <w:rsid w:val="00CA4582"/>
    <w:rsid w:val="00CB0C96"/>
    <w:rsid w:val="00CB473D"/>
    <w:rsid w:val="00CC1AB3"/>
    <w:rsid w:val="00CE28E3"/>
    <w:rsid w:val="00CF1971"/>
    <w:rsid w:val="00D01082"/>
    <w:rsid w:val="00D20ED9"/>
    <w:rsid w:val="00D345B3"/>
    <w:rsid w:val="00D7115C"/>
    <w:rsid w:val="00D8164D"/>
    <w:rsid w:val="00D865A8"/>
    <w:rsid w:val="00DB3240"/>
    <w:rsid w:val="00DC4D5C"/>
    <w:rsid w:val="00E35808"/>
    <w:rsid w:val="00E46D81"/>
    <w:rsid w:val="00ED4626"/>
    <w:rsid w:val="00F20102"/>
    <w:rsid w:val="00F34F37"/>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59</cp:revision>
  <dcterms:created xsi:type="dcterms:W3CDTF">2020-08-12T05:43:00Z</dcterms:created>
  <dcterms:modified xsi:type="dcterms:W3CDTF">2022-12-22T14:09:00Z</dcterms:modified>
</cp:coreProperties>
</file>