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AD" w:rsidRDefault="009226AD" w:rsidP="009226AD">
      <w:pPr>
        <w:spacing w:after="160" w:line="259" w:lineRule="auto"/>
        <w:jc w:val="both"/>
        <w:rPr>
          <w:rFonts w:eastAsia="Andale Sans UI"/>
          <w:kern w:val="1"/>
          <w:lang w:eastAsia="ar-SA"/>
        </w:rPr>
      </w:pPr>
      <w:r w:rsidRPr="00632245">
        <w:rPr>
          <w:b/>
          <w:bCs/>
          <w:kern w:val="1"/>
        </w:rPr>
        <w:t xml:space="preserve">Место </w:t>
      </w:r>
      <w:r w:rsidR="00427C62" w:rsidRPr="00632245">
        <w:rPr>
          <w:b/>
          <w:bCs/>
          <w:kern w:val="1"/>
        </w:rPr>
        <w:t>поставки товара</w:t>
      </w:r>
      <w:r w:rsidRPr="00632245">
        <w:rPr>
          <w:b/>
          <w:bCs/>
          <w:kern w:val="1"/>
        </w:rPr>
        <w:t xml:space="preserve">: </w:t>
      </w:r>
      <w:r w:rsidR="00C87CBF" w:rsidRPr="00632245">
        <w:rPr>
          <w:rFonts w:eastAsia="Andale Sans UI"/>
          <w:kern w:val="1"/>
          <w:lang w:eastAsia="ar-SA"/>
        </w:rPr>
        <w:t>Поставка осуществляется на территории Ханты-Мансийского автономного округа – Югры, по направлениям на получение либо изготовление технических   средств реабилитации.</w:t>
      </w:r>
    </w:p>
    <w:p w:rsidR="000A357E" w:rsidRPr="00632245" w:rsidRDefault="009226AD" w:rsidP="009A4C9B">
      <w:pPr>
        <w:spacing w:after="160" w:line="259" w:lineRule="auto"/>
        <w:jc w:val="both"/>
        <w:rPr>
          <w:rFonts w:eastAsia="Andale Sans UI"/>
          <w:kern w:val="1"/>
          <w:lang w:eastAsia="ar-SA"/>
        </w:rPr>
      </w:pPr>
      <w:r w:rsidRPr="00632245">
        <w:rPr>
          <w:b/>
          <w:bCs/>
          <w:kern w:val="1"/>
        </w:rPr>
        <w:t xml:space="preserve">Сроки </w:t>
      </w:r>
      <w:r w:rsidR="00427C62" w:rsidRPr="00632245">
        <w:rPr>
          <w:b/>
          <w:bCs/>
          <w:kern w:val="1"/>
        </w:rPr>
        <w:t>поставки товара</w:t>
      </w:r>
      <w:r w:rsidRPr="00632245">
        <w:rPr>
          <w:b/>
          <w:bCs/>
          <w:kern w:val="1"/>
        </w:rPr>
        <w:t xml:space="preserve">: </w:t>
      </w:r>
      <w:r w:rsidR="00427C62" w:rsidRPr="00632245">
        <w:rPr>
          <w:rFonts w:eastAsia="Andale Sans UI"/>
          <w:kern w:val="1"/>
          <w:lang w:eastAsia="ar-SA"/>
        </w:rPr>
        <w:t xml:space="preserve">С даты получения от Заказчика реестра получателей </w:t>
      </w:r>
      <w:proofErr w:type="gramStart"/>
      <w:r w:rsidR="00427C62" w:rsidRPr="00632245">
        <w:rPr>
          <w:rFonts w:eastAsia="Andale Sans UI"/>
          <w:kern w:val="1"/>
          <w:lang w:eastAsia="ar-SA"/>
        </w:rPr>
        <w:t>Товара</w:t>
      </w:r>
      <w:proofErr w:type="gramEnd"/>
      <w:r w:rsidR="00427C62" w:rsidRPr="00632245">
        <w:rPr>
          <w:rFonts w:eastAsia="Andale Sans UI"/>
          <w:kern w:val="1"/>
          <w:lang w:eastAsia="ar-SA"/>
        </w:rPr>
        <w:t xml:space="preserve"> </w:t>
      </w:r>
      <w:r w:rsidR="00864824">
        <w:t>но не ранее 09.01.2023 года</w:t>
      </w:r>
      <w:r w:rsidR="00864824" w:rsidRPr="007F0226">
        <w:t xml:space="preserve"> по </w:t>
      </w:r>
      <w:r w:rsidR="00262B6B">
        <w:t>30</w:t>
      </w:r>
      <w:r w:rsidR="00864824" w:rsidRPr="00A6346C">
        <w:t>.</w:t>
      </w:r>
      <w:r w:rsidR="00262B6B">
        <w:t>10</w:t>
      </w:r>
      <w:r w:rsidR="00864824" w:rsidRPr="00A6346C">
        <w:t xml:space="preserve">.2023 </w:t>
      </w:r>
      <w:r w:rsidR="00864824" w:rsidRPr="007F0226">
        <w:t>года.</w:t>
      </w:r>
    </w:p>
    <w:p w:rsidR="00D7115C" w:rsidRDefault="00D7115C" w:rsidP="009A4C9B">
      <w:pPr>
        <w:spacing w:after="160" w:line="259" w:lineRule="auto"/>
        <w:jc w:val="both"/>
      </w:pPr>
      <w:r w:rsidRPr="00632245">
        <w:rPr>
          <w:b/>
        </w:rPr>
        <w:t>Наименование, характеристики и количество поставляемых товаров</w:t>
      </w:r>
      <w:r w:rsidRPr="00632245">
        <w:t>, объем выполняемых работ, оказываемых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2720"/>
        <w:gridCol w:w="2267"/>
        <w:gridCol w:w="2208"/>
        <w:gridCol w:w="579"/>
        <w:gridCol w:w="696"/>
      </w:tblGrid>
      <w:tr w:rsidR="000C4C08" w:rsidRPr="00BD7CC5" w:rsidTr="000C4C08">
        <w:trPr>
          <w:trHeight w:val="197"/>
        </w:trPr>
        <w:tc>
          <w:tcPr>
            <w:tcW w:w="185" w:type="pct"/>
            <w:vMerge w:val="restart"/>
            <w:vAlign w:val="center"/>
          </w:tcPr>
          <w:p w:rsidR="000C4C08" w:rsidRPr="006628B3" w:rsidRDefault="000C4C08" w:rsidP="007A2A6F">
            <w:pPr>
              <w:jc w:val="center"/>
              <w:rPr>
                <w:sz w:val="20"/>
                <w:szCs w:val="20"/>
              </w:rPr>
            </w:pPr>
            <w:r w:rsidRPr="006628B3">
              <w:rPr>
                <w:sz w:val="20"/>
                <w:szCs w:val="20"/>
              </w:rPr>
              <w:t>№</w:t>
            </w:r>
          </w:p>
          <w:p w:rsidR="000C4C08" w:rsidRPr="006628B3" w:rsidRDefault="000C4C08" w:rsidP="007A2A6F">
            <w:pPr>
              <w:jc w:val="center"/>
              <w:rPr>
                <w:sz w:val="20"/>
                <w:szCs w:val="20"/>
              </w:rPr>
            </w:pPr>
            <w:r w:rsidRPr="006628B3">
              <w:rPr>
                <w:sz w:val="20"/>
                <w:szCs w:val="20"/>
              </w:rPr>
              <w:t>п/п</w:t>
            </w:r>
          </w:p>
        </w:tc>
        <w:tc>
          <w:tcPr>
            <w:tcW w:w="432" w:type="pct"/>
            <w:vMerge w:val="restart"/>
            <w:vAlign w:val="center"/>
          </w:tcPr>
          <w:p w:rsidR="000C4C08" w:rsidRPr="006628B3" w:rsidRDefault="000C4C08" w:rsidP="007A2A6F">
            <w:pPr>
              <w:jc w:val="center"/>
              <w:rPr>
                <w:sz w:val="20"/>
                <w:szCs w:val="20"/>
              </w:rPr>
            </w:pPr>
            <w:r w:rsidRPr="006628B3">
              <w:rPr>
                <w:sz w:val="20"/>
                <w:szCs w:val="20"/>
              </w:rPr>
              <w:t>Наименование (без указания товарного знака)</w:t>
            </w:r>
          </w:p>
        </w:tc>
        <w:tc>
          <w:tcPr>
            <w:tcW w:w="3765" w:type="pct"/>
            <w:gridSpan w:val="3"/>
            <w:vAlign w:val="center"/>
          </w:tcPr>
          <w:p w:rsidR="000C4C08" w:rsidRPr="006628B3" w:rsidRDefault="000C4C08" w:rsidP="007A2A6F">
            <w:pPr>
              <w:jc w:val="center"/>
              <w:rPr>
                <w:sz w:val="20"/>
                <w:szCs w:val="20"/>
              </w:rPr>
            </w:pPr>
            <w:r w:rsidRPr="0060397A">
              <w:rPr>
                <w:sz w:val="20"/>
                <w:szCs w:val="20"/>
              </w:rPr>
              <w:t>Описание (характеристики) объекта закупки</w:t>
            </w:r>
            <w:r w:rsidRPr="0060397A">
              <w:rPr>
                <w:sz w:val="20"/>
                <w:szCs w:val="20"/>
                <w:vertAlign w:val="superscript"/>
              </w:rPr>
              <w:footnoteReference w:id="1"/>
            </w:r>
          </w:p>
        </w:tc>
        <w:tc>
          <w:tcPr>
            <w:tcW w:w="309" w:type="pct"/>
            <w:vMerge w:val="restart"/>
            <w:vAlign w:val="center"/>
          </w:tcPr>
          <w:p w:rsidR="000C4C08" w:rsidRPr="006628B3" w:rsidRDefault="000C4C08" w:rsidP="007A2A6F">
            <w:pPr>
              <w:widowControl w:val="0"/>
              <w:autoSpaceDE w:val="0"/>
              <w:autoSpaceDN w:val="0"/>
              <w:adjustRightInd w:val="0"/>
              <w:jc w:val="center"/>
              <w:rPr>
                <w:sz w:val="20"/>
                <w:szCs w:val="20"/>
              </w:rPr>
            </w:pPr>
            <w:r w:rsidRPr="006628B3">
              <w:rPr>
                <w:sz w:val="20"/>
                <w:szCs w:val="20"/>
              </w:rPr>
              <w:t>Ед. изм.</w:t>
            </w:r>
          </w:p>
        </w:tc>
        <w:tc>
          <w:tcPr>
            <w:tcW w:w="309" w:type="pct"/>
            <w:vMerge w:val="restart"/>
          </w:tcPr>
          <w:p w:rsidR="000C4C08" w:rsidRPr="00A478E8" w:rsidRDefault="000C4C08" w:rsidP="007A2A6F">
            <w:pPr>
              <w:jc w:val="center"/>
            </w:pPr>
            <w:r>
              <w:t>Кол-во</w:t>
            </w:r>
          </w:p>
        </w:tc>
      </w:tr>
      <w:tr w:rsidR="000C4C08" w:rsidRPr="00BD7CC5" w:rsidTr="000C4C08">
        <w:trPr>
          <w:cantSplit/>
          <w:trHeight w:val="1362"/>
        </w:trPr>
        <w:tc>
          <w:tcPr>
            <w:tcW w:w="185" w:type="pct"/>
            <w:vMerge/>
            <w:vAlign w:val="center"/>
          </w:tcPr>
          <w:p w:rsidR="000C4C08" w:rsidRPr="006628B3" w:rsidRDefault="000C4C08" w:rsidP="000C4C08">
            <w:pPr>
              <w:jc w:val="center"/>
              <w:rPr>
                <w:sz w:val="20"/>
                <w:szCs w:val="20"/>
              </w:rPr>
            </w:pPr>
          </w:p>
        </w:tc>
        <w:tc>
          <w:tcPr>
            <w:tcW w:w="432" w:type="pct"/>
            <w:vMerge/>
            <w:vAlign w:val="center"/>
          </w:tcPr>
          <w:p w:rsidR="000C4C08" w:rsidRPr="006628B3" w:rsidRDefault="000C4C08" w:rsidP="000C4C08">
            <w:pPr>
              <w:jc w:val="center"/>
              <w:rPr>
                <w:sz w:val="20"/>
                <w:szCs w:val="20"/>
              </w:rPr>
            </w:pPr>
          </w:p>
        </w:tc>
        <w:tc>
          <w:tcPr>
            <w:tcW w:w="1419" w:type="pct"/>
            <w:vAlign w:val="center"/>
          </w:tcPr>
          <w:p w:rsidR="000C4C08" w:rsidRPr="0060397A" w:rsidRDefault="000C4C08" w:rsidP="000C4C08">
            <w:pPr>
              <w:jc w:val="center"/>
              <w:rPr>
                <w:sz w:val="20"/>
                <w:szCs w:val="20"/>
              </w:rPr>
            </w:pPr>
            <w:r w:rsidRPr="0060397A">
              <w:rPr>
                <w:sz w:val="20"/>
                <w:szCs w:val="20"/>
              </w:rPr>
              <w:t>Наименование показателя</w:t>
            </w:r>
            <w:r w:rsidRPr="0060397A">
              <w:rPr>
                <w:sz w:val="20"/>
                <w:szCs w:val="20"/>
                <w:vertAlign w:val="superscript"/>
              </w:rPr>
              <w:t xml:space="preserve"> </w:t>
            </w:r>
            <w:r w:rsidRPr="0060397A">
              <w:rPr>
                <w:sz w:val="20"/>
                <w:szCs w:val="20"/>
                <w:vertAlign w:val="superscript"/>
              </w:rPr>
              <w:footnoteReference w:id="2"/>
            </w:r>
          </w:p>
          <w:p w:rsidR="000C4C08" w:rsidRPr="0060397A" w:rsidRDefault="000C4C08" w:rsidP="000C4C08">
            <w:pPr>
              <w:jc w:val="center"/>
              <w:rPr>
                <w:color w:val="FF0000"/>
                <w:sz w:val="20"/>
                <w:szCs w:val="20"/>
              </w:rPr>
            </w:pPr>
            <w:r w:rsidRPr="0060397A">
              <w:rPr>
                <w:color w:val="FF0000"/>
                <w:sz w:val="20"/>
                <w:szCs w:val="20"/>
              </w:rPr>
              <w:t>(неизменяемое)</w:t>
            </w:r>
          </w:p>
        </w:tc>
        <w:tc>
          <w:tcPr>
            <w:tcW w:w="1173" w:type="pct"/>
            <w:vAlign w:val="center"/>
          </w:tcPr>
          <w:p w:rsidR="000C4C08" w:rsidRPr="0060397A" w:rsidRDefault="000C4C08" w:rsidP="000C4C08">
            <w:pPr>
              <w:autoSpaceDE w:val="0"/>
              <w:autoSpaceDN w:val="0"/>
              <w:adjustRightInd w:val="0"/>
              <w:jc w:val="center"/>
              <w:rPr>
                <w:sz w:val="20"/>
                <w:szCs w:val="20"/>
              </w:rPr>
            </w:pPr>
            <w:r w:rsidRPr="0060397A">
              <w:rPr>
                <w:sz w:val="20"/>
                <w:szCs w:val="20"/>
              </w:rPr>
              <w:t>Значения показателей, которые не могут изменяться</w:t>
            </w:r>
            <w:r w:rsidRPr="0060397A">
              <w:rPr>
                <w:sz w:val="20"/>
                <w:szCs w:val="20"/>
                <w:vertAlign w:val="superscript"/>
              </w:rPr>
              <w:footnoteReference w:id="3"/>
            </w:r>
          </w:p>
          <w:p w:rsidR="000C4C08" w:rsidRPr="0060397A" w:rsidRDefault="000C4C08" w:rsidP="000C4C08">
            <w:pPr>
              <w:autoSpaceDE w:val="0"/>
              <w:autoSpaceDN w:val="0"/>
              <w:adjustRightInd w:val="0"/>
              <w:jc w:val="center"/>
              <w:rPr>
                <w:color w:val="FF0000"/>
                <w:sz w:val="20"/>
                <w:szCs w:val="20"/>
              </w:rPr>
            </w:pPr>
            <w:r w:rsidRPr="0060397A">
              <w:rPr>
                <w:color w:val="FF0000"/>
                <w:sz w:val="20"/>
                <w:szCs w:val="20"/>
              </w:rPr>
              <w:t>(неизменяемое)</w:t>
            </w:r>
          </w:p>
        </w:tc>
        <w:tc>
          <w:tcPr>
            <w:tcW w:w="1173" w:type="pct"/>
            <w:vAlign w:val="center"/>
          </w:tcPr>
          <w:p w:rsidR="000C4C08" w:rsidRPr="0060397A" w:rsidRDefault="000C4C08" w:rsidP="000C4C08">
            <w:pPr>
              <w:autoSpaceDE w:val="0"/>
              <w:autoSpaceDN w:val="0"/>
              <w:adjustRightInd w:val="0"/>
              <w:jc w:val="center"/>
              <w:rPr>
                <w:sz w:val="20"/>
                <w:szCs w:val="20"/>
              </w:rPr>
            </w:pPr>
            <w:r w:rsidRPr="0060397A">
              <w:rPr>
                <w:sz w:val="20"/>
                <w:szCs w:val="20"/>
              </w:rPr>
              <w:t>Изменяемое значение показателей (точное значение устанавливает участник закупки)</w:t>
            </w:r>
          </w:p>
        </w:tc>
        <w:tc>
          <w:tcPr>
            <w:tcW w:w="309" w:type="pct"/>
            <w:vMerge/>
          </w:tcPr>
          <w:p w:rsidR="000C4C08" w:rsidRPr="006628B3" w:rsidRDefault="000C4C08" w:rsidP="000C4C08">
            <w:pPr>
              <w:jc w:val="center"/>
              <w:rPr>
                <w:sz w:val="20"/>
                <w:szCs w:val="20"/>
              </w:rPr>
            </w:pPr>
          </w:p>
        </w:tc>
        <w:tc>
          <w:tcPr>
            <w:tcW w:w="309" w:type="pct"/>
            <w:vMerge/>
          </w:tcPr>
          <w:p w:rsidR="000C4C08" w:rsidRPr="006628B3" w:rsidRDefault="000C4C08" w:rsidP="000C4C08">
            <w:pPr>
              <w:jc w:val="center"/>
              <w:rPr>
                <w:sz w:val="20"/>
                <w:szCs w:val="20"/>
              </w:rPr>
            </w:pPr>
          </w:p>
        </w:tc>
      </w:tr>
      <w:tr w:rsidR="000C4C08" w:rsidRPr="0096672A" w:rsidTr="000C4C08">
        <w:trPr>
          <w:trHeight w:val="211"/>
        </w:trPr>
        <w:tc>
          <w:tcPr>
            <w:tcW w:w="185" w:type="pct"/>
            <w:vMerge w:val="restart"/>
          </w:tcPr>
          <w:p w:rsidR="000C4C08" w:rsidRPr="006628B3" w:rsidRDefault="000C4C08" w:rsidP="007A2A6F">
            <w:pPr>
              <w:jc w:val="center"/>
              <w:rPr>
                <w:sz w:val="20"/>
                <w:szCs w:val="20"/>
              </w:rPr>
            </w:pPr>
            <w:r>
              <w:rPr>
                <w:sz w:val="20"/>
                <w:szCs w:val="20"/>
              </w:rPr>
              <w:t>1</w:t>
            </w:r>
          </w:p>
        </w:tc>
        <w:tc>
          <w:tcPr>
            <w:tcW w:w="432" w:type="pct"/>
            <w:vMerge w:val="restart"/>
          </w:tcPr>
          <w:p w:rsidR="000C4C08" w:rsidRPr="00B6141A" w:rsidRDefault="000C4C08" w:rsidP="007A2A6F">
            <w:pPr>
              <w:rPr>
                <w:bCs/>
                <w:sz w:val="20"/>
                <w:szCs w:val="20"/>
              </w:rPr>
            </w:pPr>
            <w:r w:rsidRPr="00B6141A">
              <w:rPr>
                <w:bCs/>
                <w:sz w:val="20"/>
                <w:szCs w:val="20"/>
              </w:rPr>
              <w:t>18-01-01</w:t>
            </w:r>
          </w:p>
          <w:p w:rsidR="000C4C08" w:rsidRPr="00B6141A" w:rsidRDefault="000C4C08" w:rsidP="007A2A6F">
            <w:pPr>
              <w:rPr>
                <w:bCs/>
                <w:sz w:val="20"/>
                <w:szCs w:val="20"/>
              </w:rPr>
            </w:pPr>
            <w:proofErr w:type="spellStart"/>
            <w:r w:rsidRPr="00B6141A">
              <w:rPr>
                <w:bCs/>
                <w:sz w:val="20"/>
                <w:szCs w:val="20"/>
              </w:rPr>
              <w:t>Телевиз</w:t>
            </w:r>
            <w:proofErr w:type="spellEnd"/>
          </w:p>
          <w:p w:rsidR="000C4C08" w:rsidRPr="00B6141A" w:rsidRDefault="000C4C08" w:rsidP="007A2A6F">
            <w:pPr>
              <w:rPr>
                <w:bCs/>
                <w:sz w:val="20"/>
                <w:szCs w:val="20"/>
              </w:rPr>
            </w:pPr>
            <w:r w:rsidRPr="00B6141A">
              <w:rPr>
                <w:bCs/>
                <w:sz w:val="20"/>
                <w:szCs w:val="20"/>
              </w:rPr>
              <w:t>ор с</w:t>
            </w:r>
          </w:p>
          <w:p w:rsidR="000C4C08" w:rsidRPr="00B6141A" w:rsidRDefault="000C4C08" w:rsidP="007A2A6F">
            <w:pPr>
              <w:rPr>
                <w:bCs/>
                <w:sz w:val="20"/>
                <w:szCs w:val="20"/>
              </w:rPr>
            </w:pPr>
            <w:proofErr w:type="spellStart"/>
            <w:r w:rsidRPr="00B6141A">
              <w:rPr>
                <w:bCs/>
                <w:sz w:val="20"/>
                <w:szCs w:val="20"/>
              </w:rPr>
              <w:t>телетекс</w:t>
            </w:r>
            <w:proofErr w:type="spellEnd"/>
          </w:p>
          <w:p w:rsidR="000C4C08" w:rsidRPr="00B6141A" w:rsidRDefault="000C4C08" w:rsidP="007A2A6F">
            <w:pPr>
              <w:rPr>
                <w:bCs/>
                <w:sz w:val="20"/>
                <w:szCs w:val="20"/>
              </w:rPr>
            </w:pPr>
            <w:r w:rsidRPr="00B6141A">
              <w:rPr>
                <w:bCs/>
                <w:sz w:val="20"/>
                <w:szCs w:val="20"/>
              </w:rPr>
              <w:t>том для</w:t>
            </w:r>
          </w:p>
          <w:p w:rsidR="000C4C08" w:rsidRPr="00B6141A" w:rsidRDefault="000C4C08" w:rsidP="007A2A6F">
            <w:pPr>
              <w:rPr>
                <w:bCs/>
                <w:sz w:val="20"/>
                <w:szCs w:val="20"/>
              </w:rPr>
            </w:pPr>
            <w:r w:rsidRPr="00B6141A">
              <w:rPr>
                <w:bCs/>
                <w:sz w:val="20"/>
                <w:szCs w:val="20"/>
              </w:rPr>
              <w:t>приема</w:t>
            </w:r>
          </w:p>
          <w:p w:rsidR="000C4C08" w:rsidRPr="00B6141A" w:rsidRDefault="000C4C08" w:rsidP="007A2A6F">
            <w:pPr>
              <w:rPr>
                <w:bCs/>
                <w:sz w:val="20"/>
                <w:szCs w:val="20"/>
              </w:rPr>
            </w:pPr>
            <w:proofErr w:type="spellStart"/>
            <w:r w:rsidRPr="00B6141A">
              <w:rPr>
                <w:bCs/>
                <w:sz w:val="20"/>
                <w:szCs w:val="20"/>
              </w:rPr>
              <w:t>програм</w:t>
            </w:r>
            <w:proofErr w:type="spellEnd"/>
          </w:p>
          <w:p w:rsidR="000C4C08" w:rsidRPr="00B6141A" w:rsidRDefault="000C4C08" w:rsidP="007A2A6F">
            <w:pPr>
              <w:rPr>
                <w:bCs/>
                <w:sz w:val="20"/>
                <w:szCs w:val="20"/>
              </w:rPr>
            </w:pPr>
            <w:r w:rsidRPr="00B6141A">
              <w:rPr>
                <w:bCs/>
                <w:sz w:val="20"/>
                <w:szCs w:val="20"/>
              </w:rPr>
              <w:t>м со</w:t>
            </w:r>
          </w:p>
          <w:p w:rsidR="000C4C08" w:rsidRPr="00B6141A" w:rsidRDefault="000C4C08" w:rsidP="007A2A6F">
            <w:pPr>
              <w:rPr>
                <w:bCs/>
                <w:sz w:val="20"/>
                <w:szCs w:val="20"/>
              </w:rPr>
            </w:pPr>
            <w:r w:rsidRPr="00B6141A">
              <w:rPr>
                <w:bCs/>
                <w:sz w:val="20"/>
                <w:szCs w:val="20"/>
              </w:rPr>
              <w:t>скрытым</w:t>
            </w:r>
          </w:p>
          <w:p w:rsidR="000C4C08" w:rsidRPr="00B6141A" w:rsidRDefault="000C4C08" w:rsidP="007A2A6F">
            <w:pPr>
              <w:rPr>
                <w:bCs/>
                <w:sz w:val="20"/>
                <w:szCs w:val="20"/>
              </w:rPr>
            </w:pPr>
            <w:r w:rsidRPr="00B6141A">
              <w:rPr>
                <w:bCs/>
                <w:sz w:val="20"/>
                <w:szCs w:val="20"/>
              </w:rPr>
              <w:t>и</w:t>
            </w:r>
          </w:p>
          <w:p w:rsidR="000C4C08" w:rsidRPr="00B6141A" w:rsidRDefault="000C4C08" w:rsidP="007A2A6F">
            <w:pPr>
              <w:rPr>
                <w:bCs/>
                <w:sz w:val="20"/>
                <w:szCs w:val="20"/>
              </w:rPr>
            </w:pPr>
            <w:r w:rsidRPr="00B6141A">
              <w:rPr>
                <w:bCs/>
                <w:sz w:val="20"/>
                <w:szCs w:val="20"/>
              </w:rPr>
              <w:t>субтитра</w:t>
            </w:r>
          </w:p>
          <w:p w:rsidR="000C4C08" w:rsidRPr="00B6141A" w:rsidRDefault="000C4C08" w:rsidP="007A2A6F">
            <w:pPr>
              <w:rPr>
                <w:bCs/>
                <w:sz w:val="20"/>
                <w:szCs w:val="20"/>
              </w:rPr>
            </w:pPr>
            <w:r w:rsidRPr="00B6141A">
              <w:rPr>
                <w:bCs/>
                <w:sz w:val="20"/>
                <w:szCs w:val="20"/>
              </w:rPr>
              <w:t>ми с</w:t>
            </w:r>
          </w:p>
          <w:p w:rsidR="000C4C08" w:rsidRPr="00B6141A" w:rsidRDefault="000C4C08" w:rsidP="007A2A6F">
            <w:pPr>
              <w:rPr>
                <w:bCs/>
                <w:sz w:val="20"/>
                <w:szCs w:val="20"/>
              </w:rPr>
            </w:pPr>
            <w:proofErr w:type="spellStart"/>
            <w:r w:rsidRPr="00B6141A">
              <w:rPr>
                <w:bCs/>
                <w:sz w:val="20"/>
                <w:szCs w:val="20"/>
              </w:rPr>
              <w:t>диагонал</w:t>
            </w:r>
            <w:proofErr w:type="spellEnd"/>
          </w:p>
          <w:p w:rsidR="000C4C08" w:rsidRPr="00B6141A" w:rsidRDefault="000C4C08" w:rsidP="007A2A6F">
            <w:pPr>
              <w:rPr>
                <w:bCs/>
                <w:sz w:val="20"/>
                <w:szCs w:val="20"/>
              </w:rPr>
            </w:pPr>
            <w:proofErr w:type="spellStart"/>
            <w:r w:rsidRPr="00B6141A">
              <w:rPr>
                <w:bCs/>
                <w:sz w:val="20"/>
                <w:szCs w:val="20"/>
              </w:rPr>
              <w:t>ью</w:t>
            </w:r>
            <w:proofErr w:type="spellEnd"/>
            <w:r w:rsidRPr="00B6141A">
              <w:rPr>
                <w:bCs/>
                <w:sz w:val="20"/>
                <w:szCs w:val="20"/>
              </w:rPr>
              <w:t xml:space="preserve"> не</w:t>
            </w:r>
          </w:p>
          <w:p w:rsidR="000C4C08" w:rsidRPr="00B6141A" w:rsidRDefault="000C4C08" w:rsidP="007A2A6F">
            <w:pPr>
              <w:rPr>
                <w:bCs/>
                <w:sz w:val="20"/>
                <w:szCs w:val="20"/>
              </w:rPr>
            </w:pPr>
            <w:r w:rsidRPr="00B6141A">
              <w:rPr>
                <w:bCs/>
                <w:sz w:val="20"/>
                <w:szCs w:val="20"/>
              </w:rPr>
              <w:t>менее 80</w:t>
            </w:r>
          </w:p>
          <w:p w:rsidR="000C4C08" w:rsidRPr="00556CAD" w:rsidRDefault="000C4C08" w:rsidP="007A2A6F">
            <w:pPr>
              <w:rPr>
                <w:bCs/>
                <w:sz w:val="20"/>
                <w:szCs w:val="20"/>
              </w:rPr>
            </w:pPr>
            <w:r w:rsidRPr="00B6141A">
              <w:rPr>
                <w:bCs/>
                <w:sz w:val="20"/>
                <w:szCs w:val="20"/>
              </w:rPr>
              <w:t>см</w:t>
            </w:r>
          </w:p>
        </w:tc>
        <w:tc>
          <w:tcPr>
            <w:tcW w:w="1419" w:type="pct"/>
          </w:tcPr>
          <w:p w:rsidR="000C4C08" w:rsidRPr="00556CAD" w:rsidRDefault="000C4C08" w:rsidP="007A2A6F">
            <w:pPr>
              <w:tabs>
                <w:tab w:val="left" w:pos="708"/>
              </w:tabs>
              <w:suppressAutoHyphens/>
              <w:rPr>
                <w:bCs/>
                <w:sz w:val="20"/>
                <w:szCs w:val="20"/>
              </w:rPr>
            </w:pPr>
            <w:r w:rsidRPr="00AE1A86">
              <w:rPr>
                <w:bCs/>
                <w:sz w:val="20"/>
                <w:szCs w:val="20"/>
              </w:rPr>
              <w:t>1. Диагональю монитора, см</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Pr>
                <w:bCs/>
                <w:sz w:val="20"/>
                <w:szCs w:val="20"/>
              </w:rPr>
              <w:t>не менее 80</w:t>
            </w:r>
          </w:p>
        </w:tc>
        <w:tc>
          <w:tcPr>
            <w:tcW w:w="309" w:type="pct"/>
            <w:vMerge w:val="restart"/>
          </w:tcPr>
          <w:p w:rsidR="000C4C08" w:rsidRPr="006628B3" w:rsidRDefault="000C4C08" w:rsidP="007A2A6F">
            <w:pPr>
              <w:jc w:val="center"/>
              <w:rPr>
                <w:sz w:val="20"/>
                <w:szCs w:val="20"/>
              </w:rPr>
            </w:pPr>
            <w:r w:rsidRPr="006628B3">
              <w:rPr>
                <w:sz w:val="20"/>
                <w:szCs w:val="20"/>
              </w:rPr>
              <w:t>шт.</w:t>
            </w:r>
          </w:p>
        </w:tc>
        <w:tc>
          <w:tcPr>
            <w:tcW w:w="309" w:type="pct"/>
            <w:vMerge w:val="restart"/>
          </w:tcPr>
          <w:p w:rsidR="000C4C08" w:rsidRPr="0014218D" w:rsidRDefault="000C4C08" w:rsidP="007A2A6F">
            <w:pPr>
              <w:jc w:val="center"/>
              <w:rPr>
                <w:sz w:val="20"/>
                <w:szCs w:val="20"/>
              </w:rPr>
            </w:pPr>
            <w:r>
              <w:rPr>
                <w:sz w:val="20"/>
                <w:szCs w:val="20"/>
              </w:rPr>
              <w:t>70</w:t>
            </w: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 xml:space="preserve">2. Разрешение экрана, </w:t>
            </w:r>
            <w:r>
              <w:rPr>
                <w:bCs/>
                <w:sz w:val="20"/>
                <w:szCs w:val="20"/>
              </w:rPr>
              <w:t>точек</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sidRPr="006628B3">
              <w:rPr>
                <w:sz w:val="20"/>
                <w:szCs w:val="20"/>
              </w:rPr>
              <w:t xml:space="preserve">Не менее </w:t>
            </w:r>
            <w:r w:rsidRPr="004F7373">
              <w:rPr>
                <w:sz w:val="20"/>
                <w:szCs w:val="20"/>
              </w:rPr>
              <w:t>1366x768</w:t>
            </w: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3.</w:t>
            </w:r>
            <w:r w:rsidRPr="00556CAD">
              <w:rPr>
                <w:bCs/>
                <w:sz w:val="20"/>
                <w:szCs w:val="20"/>
              </w:rPr>
              <w:t xml:space="preserve"> </w:t>
            </w:r>
            <w:r w:rsidRPr="00AE1A86">
              <w:rPr>
                <w:bCs/>
                <w:sz w:val="20"/>
                <w:szCs w:val="20"/>
              </w:rPr>
              <w:t>Встроенная акустика</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4. Формат экрана 16:9</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5. Частота кадров, Гц</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sidRPr="006628B3">
              <w:rPr>
                <w:sz w:val="20"/>
                <w:szCs w:val="20"/>
              </w:rPr>
              <w:t>Не менее 50</w:t>
            </w: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338"/>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6. Поддержка телевизионных стандартов PAL, SECAM, NTSC</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339"/>
        </w:trPr>
        <w:tc>
          <w:tcPr>
            <w:tcW w:w="185" w:type="pct"/>
            <w:vMerge/>
          </w:tcPr>
          <w:p w:rsidR="000C4C08" w:rsidRPr="006628B3" w:rsidRDefault="000C4C08" w:rsidP="007A2A6F">
            <w:pPr>
              <w:jc w:val="center"/>
              <w:rPr>
                <w:sz w:val="20"/>
                <w:szCs w:val="20"/>
              </w:rPr>
            </w:pPr>
          </w:p>
        </w:tc>
        <w:tc>
          <w:tcPr>
            <w:tcW w:w="432" w:type="pct"/>
            <w:vMerge/>
          </w:tcPr>
          <w:p w:rsidR="000C4C08" w:rsidRPr="00AE1A86" w:rsidRDefault="000C4C08" w:rsidP="007A2A6F">
            <w:pPr>
              <w:jc w:val="center"/>
              <w:rPr>
                <w:bCs/>
                <w:sz w:val="20"/>
                <w:szCs w:val="20"/>
              </w:rPr>
            </w:pPr>
          </w:p>
        </w:tc>
        <w:tc>
          <w:tcPr>
            <w:tcW w:w="1419" w:type="pct"/>
          </w:tcPr>
          <w:p w:rsidR="000C4C08" w:rsidRPr="00AE1A86" w:rsidRDefault="000C4C08" w:rsidP="007A2A6F">
            <w:pPr>
              <w:tabs>
                <w:tab w:val="left" w:pos="708"/>
              </w:tabs>
              <w:suppressAutoHyphens/>
              <w:rPr>
                <w:bCs/>
                <w:sz w:val="20"/>
                <w:szCs w:val="20"/>
              </w:rPr>
            </w:pPr>
            <w:r w:rsidRPr="00AE1A86">
              <w:rPr>
                <w:bCs/>
                <w:sz w:val="20"/>
                <w:szCs w:val="20"/>
              </w:rPr>
              <w:t>6.1.</w:t>
            </w:r>
            <w:r w:rsidRPr="00556CAD">
              <w:rPr>
                <w:bCs/>
                <w:sz w:val="20"/>
                <w:szCs w:val="20"/>
              </w:rPr>
              <w:t xml:space="preserve"> тип тюнера </w:t>
            </w:r>
          </w:p>
        </w:tc>
        <w:tc>
          <w:tcPr>
            <w:tcW w:w="1173" w:type="pct"/>
          </w:tcPr>
          <w:p w:rsidR="000C4C08" w:rsidRPr="00B44986" w:rsidRDefault="000C4C08" w:rsidP="007A2A6F">
            <w:pPr>
              <w:jc w:val="center"/>
              <w:rPr>
                <w:sz w:val="20"/>
                <w:szCs w:val="20"/>
              </w:rPr>
            </w:pPr>
            <w:r w:rsidRPr="00556CAD">
              <w:rPr>
                <w:bCs/>
                <w:sz w:val="20"/>
                <w:szCs w:val="20"/>
              </w:rPr>
              <w:t>цифровой DVB-T2</w:t>
            </w:r>
            <w:r>
              <w:rPr>
                <w:bCs/>
                <w:sz w:val="20"/>
                <w:szCs w:val="20"/>
              </w:rPr>
              <w:t>,</w:t>
            </w:r>
            <w:r w:rsidRPr="00556CAD">
              <w:rPr>
                <w:bCs/>
                <w:sz w:val="20"/>
                <w:szCs w:val="20"/>
              </w:rPr>
              <w:t xml:space="preserve"> DVB-</w:t>
            </w:r>
            <w:r>
              <w:rPr>
                <w:bCs/>
                <w:sz w:val="20"/>
                <w:szCs w:val="20"/>
                <w:lang w:val="en-US"/>
              </w:rPr>
              <w:t>C</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7. Количество принимаемых каналов</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sidRPr="006628B3">
              <w:rPr>
                <w:sz w:val="20"/>
                <w:szCs w:val="20"/>
              </w:rPr>
              <w:t>Не менее 30</w:t>
            </w: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8.</w:t>
            </w:r>
            <w:r w:rsidRPr="006628B3">
              <w:rPr>
                <w:rFonts w:eastAsia="Lucida Sans Unicode" w:cs="Tahoma"/>
                <w:color w:val="000000"/>
                <w:sz w:val="20"/>
                <w:szCs w:val="20"/>
                <w:lang w:bidi="en-US"/>
              </w:rPr>
              <w:t xml:space="preserve"> </w:t>
            </w:r>
            <w:r w:rsidRPr="006628B3">
              <w:rPr>
                <w:bCs/>
                <w:sz w:val="20"/>
                <w:szCs w:val="20"/>
              </w:rPr>
              <w:t xml:space="preserve">Прием сигналов телетекста </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9. Телетекст с памятью страниц страница</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sidRPr="006628B3">
              <w:rPr>
                <w:bCs/>
                <w:sz w:val="20"/>
                <w:szCs w:val="20"/>
              </w:rPr>
              <w:t>не менее 10</w:t>
            </w: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10. Телетекст должен соответствовать требованиям ГОСТ Р 50861-96</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11. Телетекст должен по умолчанию работать с кириллицей (принимать сигналы на русском языке) и иметь функцию двойной высоты субтитров</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bCs/>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 xml:space="preserve">12. Входы </w:t>
            </w:r>
            <w:r w:rsidRPr="006628B3">
              <w:rPr>
                <w:bCs/>
                <w:sz w:val="20"/>
                <w:szCs w:val="20"/>
                <w:lang w:bidi="en-US"/>
              </w:rPr>
              <w:t xml:space="preserve">AV, </w:t>
            </w:r>
            <w:r w:rsidRPr="006628B3">
              <w:rPr>
                <w:bCs/>
                <w:sz w:val="20"/>
                <w:szCs w:val="20"/>
                <w:lang w:val="en-US" w:bidi="en-US"/>
              </w:rPr>
              <w:t>USB</w:t>
            </w:r>
            <w:r>
              <w:rPr>
                <w:bCs/>
                <w:sz w:val="20"/>
                <w:szCs w:val="20"/>
                <w:lang w:bidi="en-US"/>
              </w:rPr>
              <w:t xml:space="preserve">, </w:t>
            </w:r>
            <w:r>
              <w:rPr>
                <w:bCs/>
                <w:sz w:val="20"/>
                <w:szCs w:val="20"/>
                <w:lang w:val="en-US" w:bidi="en-US"/>
              </w:rPr>
              <w:t>HDMI</w:t>
            </w:r>
            <w:r w:rsidRPr="006628B3">
              <w:rPr>
                <w:bCs/>
                <w:sz w:val="20"/>
                <w:szCs w:val="20"/>
              </w:rPr>
              <w:t xml:space="preserve"> </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kern w:val="3"/>
                <w:sz w:val="20"/>
                <w:szCs w:val="20"/>
              </w:rPr>
              <w:t xml:space="preserve">13. </w:t>
            </w:r>
            <w:r w:rsidRPr="006628B3">
              <w:rPr>
                <w:bCs/>
                <w:sz w:val="20"/>
                <w:szCs w:val="20"/>
              </w:rPr>
              <w:t>Разъем для наушников</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14. Мощность звука, Вт</w:t>
            </w:r>
          </w:p>
        </w:tc>
        <w:tc>
          <w:tcPr>
            <w:tcW w:w="1173" w:type="pct"/>
          </w:tcPr>
          <w:p w:rsidR="000C4C08" w:rsidRPr="006628B3" w:rsidRDefault="000C4C08" w:rsidP="007A2A6F">
            <w:pPr>
              <w:jc w:val="center"/>
              <w:rPr>
                <w:sz w:val="20"/>
                <w:szCs w:val="20"/>
              </w:rPr>
            </w:pPr>
          </w:p>
        </w:tc>
        <w:tc>
          <w:tcPr>
            <w:tcW w:w="1173" w:type="pct"/>
          </w:tcPr>
          <w:p w:rsidR="000C4C08" w:rsidRPr="006628B3" w:rsidRDefault="000C4C08" w:rsidP="007A2A6F">
            <w:pPr>
              <w:jc w:val="center"/>
              <w:rPr>
                <w:sz w:val="20"/>
                <w:szCs w:val="20"/>
              </w:rPr>
            </w:pPr>
            <w:r w:rsidRPr="006628B3">
              <w:rPr>
                <w:sz w:val="20"/>
                <w:szCs w:val="20"/>
              </w:rPr>
              <w:t xml:space="preserve">Не менее </w:t>
            </w:r>
            <w:r>
              <w:rPr>
                <w:sz w:val="20"/>
                <w:szCs w:val="20"/>
                <w:lang w:val="en-US"/>
              </w:rPr>
              <w:t>2</w:t>
            </w: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15. Функции «таймера сна»</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16. Экранное меню на русском языке</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 xml:space="preserve">17. Пульт дистанционного управления </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bCs/>
                <w:sz w:val="20"/>
                <w:szCs w:val="20"/>
              </w:rPr>
            </w:pPr>
            <w:r w:rsidRPr="006628B3">
              <w:rPr>
                <w:bCs/>
                <w:sz w:val="20"/>
                <w:szCs w:val="20"/>
              </w:rPr>
              <w:t>18. Инструкция по эксплуатации на русском языке</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716"/>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rPr>
                <w:bCs/>
                <w:sz w:val="20"/>
                <w:szCs w:val="20"/>
              </w:rPr>
            </w:pPr>
            <w:r w:rsidRPr="006628B3">
              <w:rPr>
                <w:bCs/>
                <w:sz w:val="20"/>
                <w:szCs w:val="20"/>
              </w:rPr>
              <w:t>19. Поддерживаемые форматы субтитров: SRT, SSA, SUB, TXT, AS</w:t>
            </w:r>
            <w:r w:rsidRPr="006628B3">
              <w:rPr>
                <w:bCs/>
                <w:sz w:val="20"/>
                <w:szCs w:val="20"/>
                <w:lang w:val="en-US"/>
              </w:rPr>
              <w:t>S</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sz w:val="20"/>
                <w:szCs w:val="20"/>
              </w:rPr>
            </w:pPr>
            <w:r w:rsidRPr="006628B3">
              <w:rPr>
                <w:sz w:val="20"/>
                <w:szCs w:val="20"/>
              </w:rPr>
              <w:t>20. Тип телевизора</w:t>
            </w:r>
          </w:p>
        </w:tc>
        <w:tc>
          <w:tcPr>
            <w:tcW w:w="1173" w:type="pct"/>
          </w:tcPr>
          <w:p w:rsidR="000C4C08" w:rsidRPr="006628B3" w:rsidRDefault="000C4C08" w:rsidP="007A2A6F">
            <w:pPr>
              <w:jc w:val="center"/>
              <w:rPr>
                <w:sz w:val="20"/>
                <w:szCs w:val="20"/>
              </w:rPr>
            </w:pPr>
            <w:r w:rsidRPr="006628B3">
              <w:rPr>
                <w:sz w:val="20"/>
                <w:szCs w:val="20"/>
              </w:rPr>
              <w:t>Жидкокристаллический</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sz w:val="20"/>
                <w:szCs w:val="20"/>
              </w:rPr>
            </w:pPr>
            <w:r w:rsidRPr="006628B3">
              <w:rPr>
                <w:sz w:val="20"/>
                <w:szCs w:val="20"/>
              </w:rPr>
              <w:t>21. Паспорт изделия</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sz w:val="20"/>
                <w:szCs w:val="20"/>
              </w:rPr>
            </w:pPr>
            <w:r w:rsidRPr="006628B3">
              <w:rPr>
                <w:sz w:val="20"/>
                <w:szCs w:val="20"/>
              </w:rPr>
              <w:t xml:space="preserve">22. Упаковочная коробка </w:t>
            </w:r>
            <w:r w:rsidRPr="006628B3">
              <w:rPr>
                <w:rFonts w:eastAsia="Lucida Sans Unicode"/>
                <w:kern w:val="3"/>
                <w:sz w:val="20"/>
                <w:szCs w:val="20"/>
              </w:rPr>
              <w:lastRenderedPageBreak/>
              <w:t>обеспечивает защиту от повреждений, порчи (изнашивания) или загрязнения во время хранения и транспортировки к месту использования по назначению</w:t>
            </w:r>
          </w:p>
        </w:tc>
        <w:tc>
          <w:tcPr>
            <w:tcW w:w="1173" w:type="pct"/>
          </w:tcPr>
          <w:p w:rsidR="000C4C08" w:rsidRPr="006628B3" w:rsidRDefault="000C4C08" w:rsidP="007A2A6F">
            <w:pPr>
              <w:jc w:val="center"/>
              <w:rPr>
                <w:sz w:val="20"/>
                <w:szCs w:val="20"/>
              </w:rPr>
            </w:pPr>
            <w:r w:rsidRPr="006628B3">
              <w:rPr>
                <w:sz w:val="20"/>
                <w:szCs w:val="20"/>
              </w:rPr>
              <w:lastRenderedPageBreak/>
              <w:t>соответствие</w:t>
            </w:r>
          </w:p>
        </w:tc>
        <w:tc>
          <w:tcPr>
            <w:tcW w:w="1173" w:type="pct"/>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211"/>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tabs>
                <w:tab w:val="left" w:pos="708"/>
              </w:tabs>
              <w:suppressAutoHyphens/>
              <w:rPr>
                <w:sz w:val="20"/>
                <w:szCs w:val="20"/>
              </w:rPr>
            </w:pPr>
            <w:r w:rsidRPr="006628B3">
              <w:rPr>
                <w:sz w:val="20"/>
                <w:szCs w:val="20"/>
              </w:rPr>
              <w:t>23. Гарантийный талон</w:t>
            </w:r>
          </w:p>
        </w:tc>
        <w:tc>
          <w:tcPr>
            <w:tcW w:w="1173" w:type="pct"/>
          </w:tcPr>
          <w:p w:rsidR="000C4C08" w:rsidRPr="006628B3" w:rsidRDefault="000C4C08" w:rsidP="007A2A6F">
            <w:pPr>
              <w:jc w:val="center"/>
              <w:rPr>
                <w:sz w:val="20"/>
                <w:szCs w:val="20"/>
              </w:rPr>
            </w:pPr>
            <w:r w:rsidRPr="006628B3">
              <w:rPr>
                <w:sz w:val="20"/>
                <w:szCs w:val="20"/>
              </w:rPr>
              <w:t>наличие</w:t>
            </w:r>
          </w:p>
        </w:tc>
        <w:tc>
          <w:tcPr>
            <w:tcW w:w="1173" w:type="pct"/>
          </w:tcPr>
          <w:p w:rsidR="000C4C08" w:rsidRPr="006628B3" w:rsidRDefault="000C4C08" w:rsidP="007A2A6F">
            <w:pPr>
              <w:jc w:val="center"/>
              <w:rPr>
                <w:bCs/>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r w:rsidR="000C4C08" w:rsidRPr="0096672A" w:rsidTr="000C4C08">
        <w:trPr>
          <w:trHeight w:val="132"/>
        </w:trPr>
        <w:tc>
          <w:tcPr>
            <w:tcW w:w="185" w:type="pct"/>
            <w:vMerge/>
          </w:tcPr>
          <w:p w:rsidR="000C4C08" w:rsidRPr="006628B3" w:rsidRDefault="000C4C08" w:rsidP="007A2A6F">
            <w:pPr>
              <w:jc w:val="center"/>
              <w:rPr>
                <w:sz w:val="20"/>
                <w:szCs w:val="20"/>
              </w:rPr>
            </w:pPr>
          </w:p>
        </w:tc>
        <w:tc>
          <w:tcPr>
            <w:tcW w:w="432" w:type="pct"/>
            <w:vMerge/>
          </w:tcPr>
          <w:p w:rsidR="000C4C08" w:rsidRPr="006628B3" w:rsidRDefault="000C4C08" w:rsidP="007A2A6F">
            <w:pPr>
              <w:jc w:val="center"/>
              <w:rPr>
                <w:bCs/>
                <w:sz w:val="20"/>
                <w:szCs w:val="20"/>
              </w:rPr>
            </w:pPr>
          </w:p>
        </w:tc>
        <w:tc>
          <w:tcPr>
            <w:tcW w:w="1419" w:type="pct"/>
          </w:tcPr>
          <w:p w:rsidR="000C4C08" w:rsidRPr="006628B3" w:rsidRDefault="000C4C08" w:rsidP="007A2A6F">
            <w:pPr>
              <w:widowControl w:val="0"/>
              <w:suppressAutoHyphens/>
              <w:autoSpaceDE w:val="0"/>
              <w:rPr>
                <w:rFonts w:eastAsia="Lucida Sans Unicode"/>
                <w:kern w:val="3"/>
                <w:sz w:val="20"/>
                <w:szCs w:val="20"/>
              </w:rPr>
            </w:pPr>
            <w:r w:rsidRPr="006628B3">
              <w:rPr>
                <w:rFonts w:eastAsia="Lucida Sans Unicode"/>
                <w:kern w:val="3"/>
                <w:sz w:val="20"/>
                <w:szCs w:val="20"/>
              </w:rPr>
              <w:t>24. Технические регламенты Таможенного союза:</w:t>
            </w:r>
          </w:p>
          <w:p w:rsidR="000C4C08" w:rsidRPr="006628B3" w:rsidRDefault="000C4C08" w:rsidP="007A2A6F">
            <w:pPr>
              <w:widowControl w:val="0"/>
              <w:suppressAutoHyphens/>
              <w:autoSpaceDE w:val="0"/>
              <w:rPr>
                <w:rFonts w:eastAsia="Lucida Sans Unicode"/>
                <w:kern w:val="3"/>
                <w:sz w:val="20"/>
                <w:szCs w:val="20"/>
              </w:rPr>
            </w:pPr>
            <w:r w:rsidRPr="006628B3">
              <w:rPr>
                <w:rFonts w:eastAsia="Lucida Sans Unicode"/>
                <w:kern w:val="3"/>
                <w:sz w:val="20"/>
                <w:szCs w:val="20"/>
              </w:rPr>
              <w:t xml:space="preserve">ТР ТС 004/2011 «О безопасности </w:t>
            </w:r>
            <w:proofErr w:type="spellStart"/>
            <w:r w:rsidRPr="006628B3">
              <w:rPr>
                <w:rFonts w:eastAsia="Lucida Sans Unicode"/>
                <w:kern w:val="3"/>
                <w:sz w:val="20"/>
                <w:szCs w:val="20"/>
              </w:rPr>
              <w:t>низковольтового</w:t>
            </w:r>
            <w:proofErr w:type="spellEnd"/>
            <w:r w:rsidRPr="006628B3">
              <w:rPr>
                <w:rFonts w:eastAsia="Lucida Sans Unicode"/>
                <w:kern w:val="3"/>
                <w:sz w:val="20"/>
                <w:szCs w:val="20"/>
              </w:rPr>
              <w:t xml:space="preserve"> оборудования»; ТР</w:t>
            </w:r>
            <w:r>
              <w:rPr>
                <w:rFonts w:eastAsia="Lucida Sans Unicode"/>
                <w:kern w:val="3"/>
                <w:sz w:val="20"/>
                <w:szCs w:val="20"/>
              </w:rPr>
              <w:t xml:space="preserve"> ТС 020/2011 «Электромагнитная </w:t>
            </w:r>
            <w:r w:rsidRPr="006628B3">
              <w:rPr>
                <w:rFonts w:eastAsia="Lucida Sans Unicode"/>
                <w:kern w:val="3"/>
                <w:sz w:val="20"/>
                <w:szCs w:val="20"/>
              </w:rPr>
              <w:t>совместимость технических средств»</w:t>
            </w:r>
          </w:p>
        </w:tc>
        <w:tc>
          <w:tcPr>
            <w:tcW w:w="1173" w:type="pct"/>
          </w:tcPr>
          <w:p w:rsidR="000C4C08" w:rsidRPr="006628B3" w:rsidRDefault="000C4C08" w:rsidP="007A2A6F">
            <w:pPr>
              <w:jc w:val="center"/>
              <w:rPr>
                <w:sz w:val="20"/>
                <w:szCs w:val="20"/>
              </w:rPr>
            </w:pPr>
            <w:r w:rsidRPr="006628B3">
              <w:rPr>
                <w:sz w:val="20"/>
                <w:szCs w:val="20"/>
              </w:rPr>
              <w:t>соответствие</w:t>
            </w:r>
          </w:p>
        </w:tc>
        <w:tc>
          <w:tcPr>
            <w:tcW w:w="1173" w:type="pct"/>
          </w:tcPr>
          <w:p w:rsidR="000C4C08" w:rsidRPr="006628B3" w:rsidRDefault="000C4C08" w:rsidP="007A2A6F">
            <w:pPr>
              <w:jc w:val="center"/>
              <w:rPr>
                <w:bCs/>
                <w:sz w:val="20"/>
                <w:szCs w:val="20"/>
              </w:rPr>
            </w:pPr>
          </w:p>
        </w:tc>
        <w:tc>
          <w:tcPr>
            <w:tcW w:w="309" w:type="pct"/>
            <w:vMerge/>
          </w:tcPr>
          <w:p w:rsidR="000C4C08" w:rsidRPr="006628B3" w:rsidRDefault="000C4C08" w:rsidP="007A2A6F">
            <w:pPr>
              <w:jc w:val="center"/>
              <w:rPr>
                <w:sz w:val="20"/>
                <w:szCs w:val="20"/>
              </w:rPr>
            </w:pPr>
          </w:p>
        </w:tc>
        <w:tc>
          <w:tcPr>
            <w:tcW w:w="309" w:type="pct"/>
            <w:vMerge/>
          </w:tcPr>
          <w:p w:rsidR="000C4C08" w:rsidRPr="006628B3" w:rsidRDefault="000C4C08" w:rsidP="007A2A6F">
            <w:pPr>
              <w:jc w:val="center"/>
              <w:rPr>
                <w:sz w:val="20"/>
                <w:szCs w:val="20"/>
              </w:rPr>
            </w:pPr>
          </w:p>
        </w:tc>
      </w:tr>
    </w:tbl>
    <w:p w:rsidR="000C4C08" w:rsidRDefault="000C4C08" w:rsidP="0013492B">
      <w:pPr>
        <w:pStyle w:val="ConsPlusNormal"/>
        <w:keepNext/>
        <w:keepLines/>
        <w:jc w:val="both"/>
        <w:rPr>
          <w:rFonts w:ascii="Times New Roman" w:hAnsi="Times New Roman" w:cs="Times New Roman"/>
        </w:rPr>
      </w:pPr>
    </w:p>
    <w:p w:rsidR="0013492B" w:rsidRDefault="0013492B" w:rsidP="0013492B">
      <w:pPr>
        <w:pStyle w:val="ConsPlusNormal"/>
        <w:keepNext/>
        <w:keepLines/>
        <w:jc w:val="both"/>
        <w:rPr>
          <w:rFonts w:ascii="Times New Roman" w:eastAsia="Calibri" w:hAnsi="Times New Roman" w:cs="Times New Roman"/>
        </w:rPr>
      </w:pPr>
      <w:bookmarkStart w:id="0" w:name="_GoBack"/>
      <w:bookmarkEnd w:id="0"/>
      <w:r>
        <w:rPr>
          <w:rFonts w:ascii="Times New Roman" w:hAnsi="Times New Roman" w:cs="Times New Roman"/>
        </w:rPr>
        <w:t>Для целей настоящей закупки используется терминология, определенная Приказом Минтруда России от 13.02.2018 г. № 86 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3492B" w:rsidRDefault="0013492B" w:rsidP="009A4C9B">
      <w:pPr>
        <w:spacing w:after="160" w:line="259" w:lineRule="auto"/>
        <w:jc w:val="both"/>
      </w:pPr>
    </w:p>
    <w:sectPr w:rsidR="0013492B" w:rsidSect="0013492B">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78" w:rsidRDefault="000E6A78" w:rsidP="00D7115C">
      <w:r>
        <w:separator/>
      </w:r>
    </w:p>
  </w:endnote>
  <w:endnote w:type="continuationSeparator" w:id="0">
    <w:p w:rsidR="000E6A78" w:rsidRDefault="000E6A78"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78" w:rsidRDefault="000E6A78" w:rsidP="00D7115C">
      <w:r>
        <w:separator/>
      </w:r>
    </w:p>
  </w:footnote>
  <w:footnote w:type="continuationSeparator" w:id="0">
    <w:p w:rsidR="000E6A78" w:rsidRDefault="000E6A78" w:rsidP="00D7115C">
      <w:r>
        <w:continuationSeparator/>
      </w:r>
    </w:p>
  </w:footnote>
  <w:footnote w:id="1">
    <w:p w:rsidR="000C4C08" w:rsidRDefault="000C4C08" w:rsidP="000C4C08">
      <w:pPr>
        <w:pStyle w:val="a3"/>
      </w:pPr>
      <w:r>
        <w:rPr>
          <w:vertAlign w:val="superscript"/>
        </w:rPr>
        <w:t xml:space="preserve">1 </w:t>
      </w:r>
      <w:r w:rsidRPr="00E91547">
        <w:t>Пустые ячейки заполнению не подлежат. В случае заполнения участником пустых ячеек, такие значения показателя при рассмотрении предложения участника не будут учитываться.</w:t>
      </w:r>
    </w:p>
  </w:footnote>
  <w:footnote w:id="2">
    <w:p w:rsidR="000C4C08" w:rsidRDefault="000C4C08" w:rsidP="0013492B">
      <w:pPr>
        <w:pStyle w:val="a3"/>
      </w:pPr>
      <w:r w:rsidRPr="00985908">
        <w:rPr>
          <w:vertAlign w:val="superscript"/>
        </w:rPr>
        <w:t>2</w:t>
      </w:r>
      <w:r>
        <w:t xml:space="preserve"> </w:t>
      </w:r>
      <w:r w:rsidRPr="00985908">
        <w:t>Вносить</w:t>
      </w:r>
      <w:r w:rsidRPr="006A5649">
        <w:t xml:space="preserve"> изменения в наименования показателей не допускается.</w:t>
      </w:r>
    </w:p>
  </w:footnote>
  <w:footnote w:id="3">
    <w:p w:rsidR="000C4C08" w:rsidRPr="00985908" w:rsidRDefault="000C4C08" w:rsidP="0013492B">
      <w:pPr>
        <w:pStyle w:val="a3"/>
      </w:pPr>
      <w:r w:rsidRPr="004B0A89">
        <w:rPr>
          <w:vertAlign w:val="superscript"/>
        </w:rPr>
        <w:t>3</w:t>
      </w:r>
      <w:r>
        <w:rPr>
          <w:vertAlign w:val="superscript"/>
        </w:rPr>
        <w:t xml:space="preserve"> </w:t>
      </w:r>
      <w:r w:rsidRPr="00985908">
        <w:t>Вносить</w:t>
      </w:r>
      <w:r w:rsidRPr="006A5649">
        <w:t xml:space="preserve"> изменения в неизменяемое значение показателя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6515B"/>
    <w:multiLevelType w:val="hybridMultilevel"/>
    <w:tmpl w:val="78944CC8"/>
    <w:lvl w:ilvl="0" w:tplc="B35A1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D48DC"/>
    <w:multiLevelType w:val="hybridMultilevel"/>
    <w:tmpl w:val="F5C2C272"/>
    <w:lvl w:ilvl="0" w:tplc="3E14D0A6">
      <w:numFmt w:val="bullet"/>
      <w:lvlText w:val="-"/>
      <w:lvlJc w:val="left"/>
      <w:pPr>
        <w:ind w:left="278" w:hanging="360"/>
      </w:pPr>
      <w:rPr>
        <w:rFonts w:ascii="Times New Roman" w:eastAsia="Lucida Sans Unicode" w:hAnsi="Times New Roman" w:cs="Times New Roman" w:hint="default"/>
        <w:lang w:val="en-US"/>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5">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14D08"/>
    <w:multiLevelType w:val="multilevel"/>
    <w:tmpl w:val="FA8A10F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3A13133"/>
    <w:multiLevelType w:val="multilevel"/>
    <w:tmpl w:val="75D2646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751BEE"/>
    <w:multiLevelType w:val="multilevel"/>
    <w:tmpl w:val="0000000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B72F5"/>
    <w:multiLevelType w:val="multilevel"/>
    <w:tmpl w:val="F3F6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555D3F"/>
    <w:multiLevelType w:val="hybridMultilevel"/>
    <w:tmpl w:val="C9E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80517"/>
    <w:multiLevelType w:val="hybridMultilevel"/>
    <w:tmpl w:val="0150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21628F"/>
    <w:multiLevelType w:val="multilevel"/>
    <w:tmpl w:val="B11C1E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65A28C3"/>
    <w:multiLevelType w:val="hybridMultilevel"/>
    <w:tmpl w:val="E7A2ADF4"/>
    <w:lvl w:ilvl="0" w:tplc="73F4BE2E">
      <w:start w:val="1"/>
      <w:numFmt w:val="bullet"/>
      <w:lvlText w:val="-"/>
      <w:lvlJc w:val="left"/>
      <w:pPr>
        <w:ind w:left="780" w:hanging="360"/>
      </w:pPr>
      <w:rPr>
        <w:rFonts w:ascii="Segoe UI" w:hAnsi="Segoe U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7"/>
  </w:num>
  <w:num w:numId="4">
    <w:abstractNumId w:val="11"/>
  </w:num>
  <w:num w:numId="5">
    <w:abstractNumId w:val="27"/>
  </w:num>
  <w:num w:numId="6">
    <w:abstractNumId w:val="26"/>
  </w:num>
  <w:num w:numId="7">
    <w:abstractNumId w:val="20"/>
  </w:num>
  <w:num w:numId="8">
    <w:abstractNumId w:val="12"/>
  </w:num>
  <w:num w:numId="9">
    <w:abstractNumId w:val="9"/>
  </w:num>
  <w:num w:numId="10">
    <w:abstractNumId w:val="6"/>
  </w:num>
  <w:num w:numId="11">
    <w:abstractNumId w:val="23"/>
  </w:num>
  <w:num w:numId="12">
    <w:abstractNumId w:val="7"/>
  </w:num>
  <w:num w:numId="13">
    <w:abstractNumId w:val="28"/>
  </w:num>
  <w:num w:numId="14">
    <w:abstractNumId w:val="29"/>
  </w:num>
  <w:num w:numId="15">
    <w:abstractNumId w:val="18"/>
  </w:num>
  <w:num w:numId="16">
    <w:abstractNumId w:val="13"/>
  </w:num>
  <w:num w:numId="17">
    <w:abstractNumId w:val="8"/>
  </w:num>
  <w:num w:numId="18">
    <w:abstractNumId w:val="3"/>
  </w:num>
  <w:num w:numId="19">
    <w:abstractNumId w:val="14"/>
  </w:num>
  <w:num w:numId="20">
    <w:abstractNumId w:val="4"/>
  </w:num>
  <w:num w:numId="21">
    <w:abstractNumId w:val="0"/>
  </w:num>
  <w:num w:numId="22">
    <w:abstractNumId w:val="25"/>
  </w:num>
  <w:num w:numId="23">
    <w:abstractNumId w:val="16"/>
  </w:num>
  <w:num w:numId="24">
    <w:abstractNumId w:val="21"/>
  </w:num>
  <w:num w:numId="25">
    <w:abstractNumId w:val="22"/>
  </w:num>
  <w:num w:numId="26">
    <w:abstractNumId w:val="10"/>
  </w:num>
  <w:num w:numId="27">
    <w:abstractNumId w:val="15"/>
  </w:num>
  <w:num w:numId="28">
    <w:abstractNumId w:val="1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D4"/>
    <w:rsid w:val="00030B55"/>
    <w:rsid w:val="0003657F"/>
    <w:rsid w:val="000A357E"/>
    <w:rsid w:val="000A37D4"/>
    <w:rsid w:val="000C4C08"/>
    <w:rsid w:val="000D3DE0"/>
    <w:rsid w:val="000E6A78"/>
    <w:rsid w:val="00126DEB"/>
    <w:rsid w:val="0013492B"/>
    <w:rsid w:val="001370D2"/>
    <w:rsid w:val="00137CB5"/>
    <w:rsid w:val="00144EEC"/>
    <w:rsid w:val="001738F9"/>
    <w:rsid w:val="001A1B23"/>
    <w:rsid w:val="001B6A14"/>
    <w:rsid w:val="001E58E9"/>
    <w:rsid w:val="001E621C"/>
    <w:rsid w:val="00217727"/>
    <w:rsid w:val="00235DA7"/>
    <w:rsid w:val="00240B28"/>
    <w:rsid w:val="00262B6B"/>
    <w:rsid w:val="002831DA"/>
    <w:rsid w:val="002B471D"/>
    <w:rsid w:val="002C1B5B"/>
    <w:rsid w:val="00304966"/>
    <w:rsid w:val="00310864"/>
    <w:rsid w:val="00316C52"/>
    <w:rsid w:val="003210F2"/>
    <w:rsid w:val="00386012"/>
    <w:rsid w:val="003B2511"/>
    <w:rsid w:val="003D486E"/>
    <w:rsid w:val="00423BFC"/>
    <w:rsid w:val="00427C62"/>
    <w:rsid w:val="00450CFE"/>
    <w:rsid w:val="004528B9"/>
    <w:rsid w:val="004566F9"/>
    <w:rsid w:val="00457089"/>
    <w:rsid w:val="0046492C"/>
    <w:rsid w:val="004667AA"/>
    <w:rsid w:val="00466F6A"/>
    <w:rsid w:val="00467E3B"/>
    <w:rsid w:val="004D26DF"/>
    <w:rsid w:val="004D497F"/>
    <w:rsid w:val="004F2140"/>
    <w:rsid w:val="004F62E4"/>
    <w:rsid w:val="005079EB"/>
    <w:rsid w:val="00512B6F"/>
    <w:rsid w:val="00523837"/>
    <w:rsid w:val="00585EDA"/>
    <w:rsid w:val="00592CAF"/>
    <w:rsid w:val="005935A0"/>
    <w:rsid w:val="005D4418"/>
    <w:rsid w:val="005E0778"/>
    <w:rsid w:val="005E77CD"/>
    <w:rsid w:val="005F6042"/>
    <w:rsid w:val="006132F7"/>
    <w:rsid w:val="00632245"/>
    <w:rsid w:val="00655312"/>
    <w:rsid w:val="006E787B"/>
    <w:rsid w:val="006F61BD"/>
    <w:rsid w:val="00706EF7"/>
    <w:rsid w:val="007214BD"/>
    <w:rsid w:val="007A5900"/>
    <w:rsid w:val="007B4997"/>
    <w:rsid w:val="007C105E"/>
    <w:rsid w:val="007F2A0B"/>
    <w:rsid w:val="0082620C"/>
    <w:rsid w:val="0084505E"/>
    <w:rsid w:val="008475AC"/>
    <w:rsid w:val="00852E8C"/>
    <w:rsid w:val="00864824"/>
    <w:rsid w:val="00890985"/>
    <w:rsid w:val="008A00DE"/>
    <w:rsid w:val="008A35F0"/>
    <w:rsid w:val="008F2AD3"/>
    <w:rsid w:val="009226AD"/>
    <w:rsid w:val="009A4C9B"/>
    <w:rsid w:val="009B3E5B"/>
    <w:rsid w:val="009B48C4"/>
    <w:rsid w:val="009B63B2"/>
    <w:rsid w:val="00A33FAD"/>
    <w:rsid w:val="00A520C7"/>
    <w:rsid w:val="00A94ADA"/>
    <w:rsid w:val="00AC04AF"/>
    <w:rsid w:val="00AF1D6E"/>
    <w:rsid w:val="00B14F09"/>
    <w:rsid w:val="00B201AE"/>
    <w:rsid w:val="00B408CD"/>
    <w:rsid w:val="00B45B9E"/>
    <w:rsid w:val="00B60578"/>
    <w:rsid w:val="00B82A3E"/>
    <w:rsid w:val="00BA2658"/>
    <w:rsid w:val="00BB7977"/>
    <w:rsid w:val="00BC42EC"/>
    <w:rsid w:val="00BD6C75"/>
    <w:rsid w:val="00C0005A"/>
    <w:rsid w:val="00C1613C"/>
    <w:rsid w:val="00C34D1D"/>
    <w:rsid w:val="00C508C6"/>
    <w:rsid w:val="00C87CBF"/>
    <w:rsid w:val="00CA2207"/>
    <w:rsid w:val="00CA3011"/>
    <w:rsid w:val="00CA6B33"/>
    <w:rsid w:val="00CB0C96"/>
    <w:rsid w:val="00CB473D"/>
    <w:rsid w:val="00CB6216"/>
    <w:rsid w:val="00CE7DFC"/>
    <w:rsid w:val="00CF08BB"/>
    <w:rsid w:val="00CF42D3"/>
    <w:rsid w:val="00D01082"/>
    <w:rsid w:val="00D15A62"/>
    <w:rsid w:val="00D23661"/>
    <w:rsid w:val="00D7115C"/>
    <w:rsid w:val="00D8164D"/>
    <w:rsid w:val="00D849B6"/>
    <w:rsid w:val="00D84C03"/>
    <w:rsid w:val="00D865A8"/>
    <w:rsid w:val="00DC4D5C"/>
    <w:rsid w:val="00E04E09"/>
    <w:rsid w:val="00E21973"/>
    <w:rsid w:val="00E3009F"/>
    <w:rsid w:val="00E35808"/>
    <w:rsid w:val="00E95858"/>
    <w:rsid w:val="00ED0360"/>
    <w:rsid w:val="00ED4626"/>
    <w:rsid w:val="00EE52B6"/>
    <w:rsid w:val="00EE544A"/>
    <w:rsid w:val="00EF45D9"/>
    <w:rsid w:val="00F15338"/>
    <w:rsid w:val="00F226A3"/>
    <w:rsid w:val="00F34F37"/>
    <w:rsid w:val="00F7376C"/>
    <w:rsid w:val="00F77189"/>
    <w:rsid w:val="00F77D25"/>
    <w:rsid w:val="00F91CB2"/>
    <w:rsid w:val="00FA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9442C-E3EC-4F5C-9B9A-5E566E3D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paragraph" w:styleId="2">
    <w:name w:val="heading 2"/>
    <w:basedOn w:val="a"/>
    <w:next w:val="a"/>
    <w:link w:val="20"/>
    <w:uiPriority w:val="9"/>
    <w:semiHidden/>
    <w:unhideWhenUsed/>
    <w:qFormat/>
    <w:rsid w:val="00B82A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unhideWhenUsed/>
    <w:rsid w:val="00427C62"/>
    <w:rPr>
      <w:rFonts w:ascii="Tahoma" w:eastAsiaTheme="minorEastAsia" w:hAnsi="Tahoma" w:cs="Tahoma"/>
      <w:sz w:val="16"/>
      <w:szCs w:val="16"/>
    </w:rPr>
  </w:style>
  <w:style w:type="character" w:customStyle="1" w:styleId="a7">
    <w:name w:val="Текст выноски Знак"/>
    <w:basedOn w:val="a0"/>
    <w:link w:val="a6"/>
    <w:uiPriority w:val="99"/>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3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uiPriority w:val="99"/>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uiPriority w:val="99"/>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2">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3">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uiPriority w:val="1"/>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4">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5">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6">
    <w:name w:val="Body Text 2"/>
    <w:basedOn w:val="a"/>
    <w:link w:val="27"/>
    <w:uiPriority w:val="99"/>
    <w:unhideWhenUsed/>
    <w:rsid w:val="00427C62"/>
    <w:pPr>
      <w:spacing w:after="120" w:line="480" w:lineRule="auto"/>
    </w:pPr>
  </w:style>
  <w:style w:type="character" w:customStyle="1" w:styleId="27">
    <w:name w:val="Основной текст 2 Знак"/>
    <w:basedOn w:val="a0"/>
    <w:link w:val="26"/>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8">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 w:type="character" w:customStyle="1" w:styleId="s4">
    <w:name w:val="s4"/>
    <w:rsid w:val="00CF42D3"/>
  </w:style>
  <w:style w:type="character" w:customStyle="1" w:styleId="20">
    <w:name w:val="Заголовок 2 Знак"/>
    <w:basedOn w:val="a0"/>
    <w:link w:val="2"/>
    <w:uiPriority w:val="9"/>
    <w:semiHidden/>
    <w:rsid w:val="00B82A3E"/>
    <w:rPr>
      <w:rFonts w:asciiTheme="majorHAnsi" w:eastAsiaTheme="majorEastAsia" w:hAnsiTheme="majorHAnsi" w:cstheme="majorBidi"/>
      <w:color w:val="2E74B5" w:themeColor="accent1" w:themeShade="BF"/>
      <w:sz w:val="26"/>
      <w:szCs w:val="26"/>
      <w:lang w:eastAsia="ru-RU"/>
    </w:rPr>
  </w:style>
  <w:style w:type="paragraph" w:styleId="aff4">
    <w:name w:val="Normal (Web)"/>
    <w:basedOn w:val="a"/>
    <w:uiPriority w:val="99"/>
    <w:rsid w:val="00B82A3E"/>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9472">
      <w:bodyDiv w:val="1"/>
      <w:marLeft w:val="0"/>
      <w:marRight w:val="0"/>
      <w:marTop w:val="0"/>
      <w:marBottom w:val="0"/>
      <w:divBdr>
        <w:top w:val="none" w:sz="0" w:space="0" w:color="auto"/>
        <w:left w:val="none" w:sz="0" w:space="0" w:color="auto"/>
        <w:bottom w:val="none" w:sz="0" w:space="0" w:color="auto"/>
        <w:right w:val="none" w:sz="0" w:space="0" w:color="auto"/>
      </w:divBdr>
    </w:div>
    <w:div w:id="1015378588">
      <w:bodyDiv w:val="1"/>
      <w:marLeft w:val="0"/>
      <w:marRight w:val="0"/>
      <w:marTop w:val="0"/>
      <w:marBottom w:val="0"/>
      <w:divBdr>
        <w:top w:val="none" w:sz="0" w:space="0" w:color="auto"/>
        <w:left w:val="none" w:sz="0" w:space="0" w:color="auto"/>
        <w:bottom w:val="none" w:sz="0" w:space="0" w:color="auto"/>
        <w:right w:val="none" w:sz="0" w:space="0" w:color="auto"/>
      </w:divBdr>
    </w:div>
    <w:div w:id="1191647333">
      <w:bodyDiv w:val="1"/>
      <w:marLeft w:val="0"/>
      <w:marRight w:val="0"/>
      <w:marTop w:val="0"/>
      <w:marBottom w:val="0"/>
      <w:divBdr>
        <w:top w:val="none" w:sz="0" w:space="0" w:color="auto"/>
        <w:left w:val="none" w:sz="0" w:space="0" w:color="auto"/>
        <w:bottom w:val="none" w:sz="0" w:space="0" w:color="auto"/>
        <w:right w:val="none" w:sz="0" w:space="0" w:color="auto"/>
      </w:divBdr>
    </w:div>
    <w:div w:id="12650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Пластинин Максим Михайлович</cp:lastModifiedBy>
  <cp:revision>82</cp:revision>
  <dcterms:created xsi:type="dcterms:W3CDTF">2020-08-12T05:43:00Z</dcterms:created>
  <dcterms:modified xsi:type="dcterms:W3CDTF">2022-12-02T13:52:00Z</dcterms:modified>
</cp:coreProperties>
</file>