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92" w:rsidRDefault="00BE2492" w:rsidP="00BE2492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BE2492" w:rsidRDefault="00BE2492" w:rsidP="00BE2492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BE2492" w:rsidRDefault="00BE2492" w:rsidP="00BE2492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BE2492" w:rsidRDefault="00BE2492" w:rsidP="00BE2492">
      <w:pPr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BE2492" w:rsidRDefault="00BE2492" w:rsidP="00BE2492">
      <w:pPr>
        <w:autoSpaceDE w:val="0"/>
        <w:ind w:firstLine="708"/>
        <w:jc w:val="center"/>
      </w:pPr>
      <w:r>
        <w:rPr>
          <w:rFonts w:eastAsia="Times New Roman CYR" w:cs="Times New Roman"/>
          <w:b/>
          <w:bCs/>
          <w:sz w:val="20"/>
          <w:szCs w:val="20"/>
        </w:rPr>
        <w:t>на обеспечение инвалидов техническими средствами реабилитации в 2022 году.</w:t>
      </w:r>
    </w:p>
    <w:p w:rsidR="00BE2492" w:rsidRDefault="00BE2492" w:rsidP="00BE2492">
      <w:pPr>
        <w:pStyle w:val="Standard"/>
        <w:numPr>
          <w:ilvl w:val="0"/>
          <w:numId w:val="3"/>
        </w:numPr>
        <w:autoSpaceDE w:val="0"/>
        <w:ind w:left="0" w:firstLine="426"/>
        <w:jc w:val="both"/>
        <w:textAlignment w:val="baseline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sz w:val="20"/>
          <w:szCs w:val="20"/>
        </w:rPr>
        <w:t>аукцион в электронной форме.</w:t>
      </w:r>
    </w:p>
    <w:p w:rsidR="00BE2492" w:rsidRDefault="00BE2492" w:rsidP="00BE2492">
      <w:pPr>
        <w:pStyle w:val="Standard"/>
        <w:numPr>
          <w:ilvl w:val="0"/>
          <w:numId w:val="3"/>
        </w:numPr>
        <w:autoSpaceDE w:val="0"/>
        <w:ind w:left="0" w:firstLine="426"/>
        <w:jc w:val="both"/>
        <w:textAlignment w:val="baseline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п</w:t>
      </w:r>
      <w:r>
        <w:rPr>
          <w:rFonts w:cs="Times New Roman"/>
          <w:color w:val="000000"/>
          <w:sz w:val="20"/>
          <w:szCs w:val="20"/>
        </w:rPr>
        <w:t>оставка технических средств реабилитации инвалидам в 2022 году</w:t>
      </w:r>
      <w:r>
        <w:rPr>
          <w:rFonts w:eastAsia="Times New Roman CYR" w:cs="Times New Roman"/>
          <w:bCs/>
          <w:sz w:val="20"/>
          <w:szCs w:val="20"/>
        </w:rPr>
        <w:t xml:space="preserve">. </w:t>
      </w:r>
      <w:r>
        <w:rPr>
          <w:rFonts w:eastAsia="Times New Roman CYR" w:cs="Times New Roman"/>
          <w:b/>
          <w:bCs/>
          <w:sz w:val="20"/>
          <w:szCs w:val="20"/>
        </w:rPr>
        <w:t>Протезы нижних конечностей</w:t>
      </w:r>
    </w:p>
    <w:tbl>
      <w:tblPr>
        <w:tblW w:w="964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536"/>
        <w:gridCol w:w="1134"/>
        <w:gridCol w:w="1134"/>
        <w:gridCol w:w="1418"/>
      </w:tblGrid>
      <w:tr w:rsidR="00BE2492" w:rsidTr="00BE249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BE2492" w:rsidTr="00BE2492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К3-К4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ортопедические;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Регулировочно-соединительные устройства: на нагрузку до 125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кг.;</w:t>
            </w:r>
            <w:proofErr w:type="gramEnd"/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Стопа: с низким или высоким профилем, с пирамидальным адаптером, с высокой степенью энергосбережения, с вертикальным поглощением удара, для пациентов весом до 166 кг, с уровнем активности К3-К4;</w:t>
            </w:r>
          </w:p>
          <w:p w:rsidR="00BE2492" w:rsidRDefault="00BE2492" w:rsidP="00641678">
            <w:pPr>
              <w:pStyle w:val="Standard"/>
              <w:keepNext/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center"/>
            </w:pPr>
            <w:r>
              <w:rPr>
                <w:sz w:val="20"/>
                <w:szCs w:val="20"/>
              </w:rPr>
              <w:t>523784,16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snapToGrid w:val="0"/>
              <w:jc w:val="center"/>
            </w:pPr>
            <w:r>
              <w:rPr>
                <w:sz w:val="20"/>
                <w:szCs w:val="20"/>
              </w:rPr>
              <w:t>3 142 704,96</w:t>
            </w:r>
          </w:p>
        </w:tc>
      </w:tr>
      <w:tr w:rsidR="00BE2492" w:rsidTr="00BE249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418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ортопедические;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дополнительным поясным креплением или резиновым наколенником;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Регулировочно-соединительные устройства: на нагрузку до 125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кг.;</w:t>
            </w:r>
            <w:proofErr w:type="gramEnd"/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Стопа: энергосберегающая,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уровнем активности К2-К3;</w:t>
            </w:r>
          </w:p>
          <w:p w:rsidR="00BE2492" w:rsidRDefault="00BE2492" w:rsidP="00641678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263 264,55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Default="00BE2492" w:rsidP="0064167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3 948 968,25</w:t>
            </w:r>
          </w:p>
        </w:tc>
      </w:tr>
    </w:tbl>
    <w:p w:rsidR="00BE2492" w:rsidRDefault="00BE2492" w:rsidP="00BE2492">
      <w:pPr>
        <w:pStyle w:val="Standard"/>
        <w:autoSpaceDE w:val="0"/>
        <w:ind w:left="426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B9282E" w:rsidRDefault="00823B19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1134"/>
        <w:gridCol w:w="1134"/>
        <w:gridCol w:w="1418"/>
      </w:tblGrid>
      <w:tr w:rsidR="00BE2492" w:rsidRPr="00BE2492" w:rsidTr="00BE2492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spacing w:after="120"/>
              <w:ind w:right="459"/>
              <w:jc w:val="both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К2-К3 с полимерным (силиконовым) чехлом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ортопедические;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Регулировочно-соединительные устройства: на нагрузку до 125 </w:t>
            </w:r>
            <w:proofErr w:type="gram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кг.;</w:t>
            </w:r>
            <w:proofErr w:type="gramEnd"/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Стопа: энергосберегающая, </w:t>
            </w:r>
            <w:proofErr w:type="spell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уровнем активности К2-К3;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406 797,38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1 627 189,52</w:t>
            </w:r>
          </w:p>
        </w:tc>
      </w:tr>
      <w:tr w:rsidR="00BE2492" w:rsidRPr="00BE2492" w:rsidTr="00BE2492">
        <w:tblPrEx>
          <w:tblCellMar>
            <w:top w:w="0" w:type="dxa"/>
            <w:bottom w:w="0" w:type="dxa"/>
          </w:tblCellMar>
        </w:tblPrEx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spacing w:after="120"/>
              <w:jc w:val="both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Протез голени модульный, в том числе при недоразвитии для пациентов с уровнем активности К3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Косметическая облицовка: мягкая полиуретановая модульная, чулки </w:t>
            </w:r>
            <w:proofErr w:type="spell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перлоновые</w:t>
            </w:r>
            <w:proofErr w:type="spellEnd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ортопедические;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с полимерным чехлом с использованием замка или мембраны;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Регулировочно-соединительные устройства: на нагрузку до 125 </w:t>
            </w:r>
            <w:proofErr w:type="gram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кг.;</w:t>
            </w:r>
            <w:proofErr w:type="gramEnd"/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Стопа: энергосберегающая, </w:t>
            </w:r>
            <w:proofErr w:type="spell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углепластиковая</w:t>
            </w:r>
            <w:proofErr w:type="spellEnd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уровнем активности К3;</w:t>
            </w:r>
          </w:p>
          <w:p w:rsidR="00BE2492" w:rsidRPr="00BE2492" w:rsidRDefault="00BE2492" w:rsidP="00BE2492">
            <w:pPr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465 751,04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2 794 506,24</w:t>
            </w:r>
          </w:p>
        </w:tc>
      </w:tr>
    </w:tbl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p w:rsidR="00BE2492" w:rsidRDefault="00BE2492" w:rsidP="00BE2492"/>
    <w:tbl>
      <w:tblPr>
        <w:tblW w:w="964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1134"/>
        <w:gridCol w:w="1560"/>
      </w:tblGrid>
      <w:tr w:rsidR="00BE2492" w:rsidRPr="00BE2492" w:rsidTr="00BE249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spacing w:after="120"/>
              <w:jc w:val="both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Протез голени модульный, в том числе при врожденном недоразвитии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Протез голени модульный, в том числе при недоразвитии для пациентов с уровнем активности К2-К3 с гидравлической щиколоткой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Тип протеза: модульный;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 xml:space="preserve">Косметическая облицовка: мягкая полиуретановая модульная, чулки </w:t>
            </w:r>
            <w:proofErr w:type="spellStart"/>
            <w:r w:rsidRPr="00BE2492">
              <w:rPr>
                <w:sz w:val="20"/>
                <w:szCs w:val="20"/>
              </w:rPr>
              <w:t>перлоновые</w:t>
            </w:r>
            <w:proofErr w:type="spellEnd"/>
            <w:r w:rsidRPr="00BE2492">
              <w:rPr>
                <w:sz w:val="20"/>
                <w:szCs w:val="20"/>
              </w:rPr>
              <w:t xml:space="preserve"> ортопедические;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Приемная гильза: индивидуальная, изготовленная по слепку с культи инвалида;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Количество приемных гильз: примерочная – 1 шт., постоянная – 1шт.;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Крепление протеза: с полимерным чехлом с использованием замка или мембраны;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Количество полимерных чехлов: 2 шт.;</w:t>
            </w:r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 xml:space="preserve">Регулировочно-соединительные устройства: на нагрузку до 125 </w:t>
            </w:r>
            <w:proofErr w:type="gramStart"/>
            <w:r w:rsidRPr="00BE2492">
              <w:rPr>
                <w:sz w:val="20"/>
                <w:szCs w:val="20"/>
              </w:rPr>
              <w:t>кг.;</w:t>
            </w:r>
            <w:proofErr w:type="gramEnd"/>
          </w:p>
          <w:p w:rsidR="00BE2492" w:rsidRPr="00BE2492" w:rsidRDefault="00BE2492" w:rsidP="00BE2492">
            <w:pPr>
              <w:spacing w:after="12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 xml:space="preserve">Стопа: </w:t>
            </w:r>
            <w:proofErr w:type="spellStart"/>
            <w:r w:rsidRPr="00BE2492">
              <w:rPr>
                <w:sz w:val="20"/>
                <w:szCs w:val="20"/>
              </w:rPr>
              <w:t>углепластиковая</w:t>
            </w:r>
            <w:proofErr w:type="spellEnd"/>
            <w:r w:rsidRPr="00BE2492">
              <w:rPr>
                <w:sz w:val="20"/>
                <w:szCs w:val="20"/>
              </w:rPr>
              <w:t xml:space="preserve"> с гидравлической щиколоткой, диапазон движения щиколотки не менее 12 градусов, с уровнем активности К2-К3;</w:t>
            </w:r>
          </w:p>
          <w:p w:rsidR="00BE2492" w:rsidRPr="00BE2492" w:rsidRDefault="00BE2492" w:rsidP="00BE2492">
            <w:pPr>
              <w:spacing w:after="120" w:line="276" w:lineRule="auto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Назначение протеза: постоянный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707 100,62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2 828 402,48</w:t>
            </w:r>
          </w:p>
        </w:tc>
      </w:tr>
      <w:tr w:rsidR="00BE2492" w:rsidRPr="00BE2492" w:rsidTr="00BE249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Протез стопы</w:t>
            </w:r>
          </w:p>
          <w:p w:rsidR="00BE2492" w:rsidRPr="00BE2492" w:rsidRDefault="00BE2492" w:rsidP="00BE2492">
            <w:pPr>
              <w:keepNext/>
              <w:snapToGrid w:val="0"/>
              <w:spacing w:after="12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Протез на культю стопы, изготавливается из углепластика, имеет передний каркас, горизонтальную распорку и специально сконструированную подошву с открытой площадкой для пяточной кости. Наполнитель стопы изготавливается из мягкого </w:t>
            </w:r>
            <w:proofErr w:type="spell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педилина</w:t>
            </w:r>
            <w:proofErr w:type="spellEnd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пластозота</w:t>
            </w:r>
            <w:proofErr w:type="spellEnd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индивидуально. Крепление протеза осуществляется за счет крепежных ремней (застежка - </w:t>
            </w:r>
            <w:proofErr w:type="spellStart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велькро</w:t>
            </w:r>
            <w:proofErr w:type="spellEnd"/>
            <w:r w:rsidRPr="00BE2492">
              <w:rPr>
                <w:rFonts w:eastAsia="Times New Roman" w:cs="Times New Roman"/>
                <w:sz w:val="20"/>
                <w:szCs w:val="20"/>
                <w:lang w:eastAsia="ru-RU"/>
              </w:rPr>
              <w:t>).</w:t>
            </w:r>
          </w:p>
          <w:p w:rsidR="00BE2492" w:rsidRPr="00BE2492" w:rsidRDefault="00BE2492" w:rsidP="00BE2492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164527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snapToGrid w:val="0"/>
              <w:jc w:val="center"/>
              <w:textAlignment w:val="baseline"/>
              <w:rPr>
                <w:sz w:val="20"/>
                <w:szCs w:val="20"/>
              </w:rPr>
            </w:pPr>
            <w:r w:rsidRPr="00BE2492">
              <w:rPr>
                <w:sz w:val="20"/>
                <w:szCs w:val="20"/>
              </w:rPr>
              <w:t>329054</w:t>
            </w:r>
          </w:p>
        </w:tc>
      </w:tr>
      <w:tr w:rsidR="00BE2492" w:rsidRPr="00BE2492" w:rsidTr="00BE249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E2492">
              <w:rPr>
                <w:rFonts w:cs="Times New Roman"/>
                <w:sz w:val="20"/>
                <w:szCs w:val="20"/>
              </w:rPr>
              <w:t>Изделия должны отвечать требованиям Государственного стандарта Российской Федерации:</w:t>
            </w:r>
          </w:p>
          <w:p w:rsidR="00BE2492" w:rsidRPr="00BE2492" w:rsidRDefault="00BE2492" w:rsidP="00BE2492">
            <w:pPr>
              <w:keepNext/>
              <w:snapToGri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E2492">
              <w:rPr>
                <w:rFonts w:cs="Times New Roman"/>
                <w:sz w:val="20"/>
                <w:szCs w:val="20"/>
              </w:rPr>
              <w:t>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национальному стандарту</w:t>
            </w:r>
          </w:p>
          <w:p w:rsidR="00BE2492" w:rsidRPr="00BE2492" w:rsidRDefault="00BE2492" w:rsidP="00BE2492">
            <w:pPr>
              <w:keepNext/>
              <w:snapToGri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E2492">
              <w:rPr>
                <w:rFonts w:cs="Times New Roman"/>
                <w:sz w:val="20"/>
                <w:szCs w:val="20"/>
              </w:rPr>
              <w:t>ГОСТ Р 52770-2016 «Изделия медицинские. Требования безопасности», межгосударственного стандарта</w:t>
            </w:r>
          </w:p>
          <w:p w:rsidR="00BE2492" w:rsidRPr="00BE2492" w:rsidRDefault="00BE2492" w:rsidP="00BE2492">
            <w:pPr>
              <w:keepNext/>
              <w:snapToGri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E2492">
              <w:rPr>
                <w:rFonts w:cs="Times New Roman"/>
                <w:sz w:val="20"/>
                <w:szCs w:val="20"/>
              </w:rPr>
              <w:t>ГОСТ ISO 10993-2011 «Изделия медицинские. Оценка биологического действия медицинских изделий. Часть 1. Оценка и исследования», межгосударственного стандарта</w:t>
            </w:r>
          </w:p>
          <w:p w:rsidR="00BE2492" w:rsidRPr="00BE2492" w:rsidRDefault="00BE2492" w:rsidP="00BE2492">
            <w:pPr>
              <w:keepNext/>
              <w:snapToGri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BE2492">
              <w:rPr>
                <w:rFonts w:cs="Times New Roman"/>
                <w:sz w:val="20"/>
                <w:szCs w:val="20"/>
              </w:rPr>
              <w:t>ГОСТ ISO 10993-2011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      </w:r>
          </w:p>
          <w:p w:rsidR="00BE2492" w:rsidRPr="00BE2492" w:rsidRDefault="00BE2492" w:rsidP="00BE2492">
            <w:pPr>
              <w:keepNext/>
              <w:snapToGrid w:val="0"/>
              <w:jc w:val="both"/>
              <w:textAlignment w:val="baseline"/>
            </w:pPr>
            <w:r w:rsidRPr="00BE2492">
              <w:rPr>
                <w:rFonts w:cs="Times New Roman"/>
                <w:b/>
                <w:sz w:val="20"/>
                <w:szCs w:val="20"/>
              </w:rPr>
              <w:t>Гарантийный срок</w:t>
            </w:r>
            <w:r w:rsidRPr="00BE2492">
              <w:rPr>
                <w:rFonts w:cs="Times New Roman"/>
                <w:sz w:val="20"/>
                <w:szCs w:val="20"/>
              </w:rPr>
              <w:t xml:space="preserve"> составляет не менее 12 месяцев.</w:t>
            </w:r>
          </w:p>
        </w:tc>
      </w:tr>
      <w:tr w:rsidR="00BE2492" w:rsidRPr="00BE2492" w:rsidTr="00BE2492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59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right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BE2492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BE2492">
              <w:rPr>
                <w:rFonts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keepNext/>
              <w:snapToGrid w:val="0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492" w:rsidRPr="00BE2492" w:rsidRDefault="00BE2492" w:rsidP="00BE2492">
            <w:pPr>
              <w:tabs>
                <w:tab w:val="left" w:pos="232"/>
              </w:tabs>
              <w:snapToGrid w:val="0"/>
              <w:ind w:right="-27"/>
              <w:jc w:val="center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 w:rsidRPr="00BE2492">
              <w:rPr>
                <w:rFonts w:cs="Times New Roman"/>
                <w:b/>
                <w:bCs/>
                <w:sz w:val="20"/>
                <w:szCs w:val="20"/>
              </w:rPr>
              <w:t>14670825,45</w:t>
            </w:r>
          </w:p>
        </w:tc>
      </w:tr>
    </w:tbl>
    <w:p w:rsidR="00BE2492" w:rsidRDefault="00BE2492" w:rsidP="00BE2492"/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cs="Times New Roman"/>
          <w:b/>
          <w:sz w:val="20"/>
          <w:szCs w:val="20"/>
        </w:rPr>
        <w:t>Источник финансирования заказа</w:t>
      </w:r>
      <w:r w:rsidRPr="00BE2492">
        <w:rPr>
          <w:rFonts w:eastAsia="Times New Roman CYR" w:cs="Times New Roman"/>
          <w:sz w:val="20"/>
          <w:szCs w:val="20"/>
        </w:rPr>
        <w:t>: федеральный бюджет.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14 670 825 </w:t>
      </w:r>
      <w:r w:rsidRPr="00BE2492">
        <w:rPr>
          <w:rFonts w:eastAsia="Times New Roman CYR" w:cs="Times New Roman"/>
          <w:sz w:val="20"/>
          <w:szCs w:val="20"/>
        </w:rPr>
        <w:t>рублей</w:t>
      </w:r>
      <w:r w:rsidRPr="00BE2492">
        <w:rPr>
          <w:rFonts w:eastAsia="Times New Roman CYR" w:cs="Times New Roman"/>
          <w:b/>
          <w:bCs/>
          <w:sz w:val="20"/>
          <w:szCs w:val="20"/>
        </w:rPr>
        <w:t xml:space="preserve"> 45 </w:t>
      </w:r>
      <w:r w:rsidRPr="00BE2492">
        <w:rPr>
          <w:rFonts w:eastAsia="Times New Roman CYR" w:cs="Times New Roman"/>
          <w:bCs/>
          <w:sz w:val="20"/>
          <w:szCs w:val="20"/>
        </w:rPr>
        <w:t>копеек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 w:rsidRPr="00BE2492"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BE2492"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BE2492">
        <w:rPr>
          <w:rFonts w:eastAsia="Times New Roman CYR" w:cs="Times New Roman"/>
          <w:b/>
          <w:bCs/>
          <w:i/>
          <w:iCs/>
          <w:sz w:val="20"/>
          <w:szCs w:val="20"/>
        </w:rPr>
        <w:t>протеза нижних конечностей</w:t>
      </w:r>
      <w:r w:rsidRPr="00BE2492">
        <w:rPr>
          <w:rFonts w:cs="Times New Roman"/>
          <w:i/>
          <w:sz w:val="20"/>
          <w:szCs w:val="20"/>
        </w:rPr>
        <w:t xml:space="preserve"> </w:t>
      </w:r>
      <w:r w:rsidRPr="00BE2492"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 w:rsidRPr="00BE2492"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 w:rsidRPr="00BE2492"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 w:rsidRPr="00BE2492"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 w:rsidRPr="00BE2492">
        <w:rPr>
          <w:rFonts w:cs="Times New Roman"/>
          <w:color w:val="000000"/>
          <w:sz w:val="20"/>
          <w:szCs w:val="20"/>
        </w:rPr>
        <w:t xml:space="preserve">) </w:t>
      </w:r>
      <w:r w:rsidRPr="00BE2492"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</w:t>
      </w:r>
      <w:r w:rsidR="00823B19">
        <w:rPr>
          <w:rFonts w:cs="Times New Roman"/>
          <w:sz w:val="20"/>
          <w:szCs w:val="20"/>
        </w:rPr>
        <w:t>0</w:t>
      </w:r>
      <w:bookmarkStart w:id="0" w:name="_GoBack"/>
      <w:bookmarkEnd w:id="0"/>
      <w:r w:rsidRPr="00BE2492">
        <w:rPr>
          <w:rFonts w:cs="Times New Roman"/>
          <w:sz w:val="20"/>
          <w:szCs w:val="20"/>
        </w:rPr>
        <w:t>9» декабря 2022 года.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cs="Times New Roman"/>
          <w:b/>
          <w:bCs/>
          <w:color w:val="000000"/>
          <w:sz w:val="20"/>
          <w:szCs w:val="20"/>
        </w:rPr>
        <w:t>Ф</w:t>
      </w:r>
      <w:r w:rsidRPr="00BE2492"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 w:rsidRPr="00BE2492">
        <w:rPr>
          <w:rFonts w:cs="Times New Roman"/>
          <w:sz w:val="20"/>
          <w:szCs w:val="20"/>
        </w:rPr>
        <w:t xml:space="preserve"> </w:t>
      </w:r>
      <w:r w:rsidRPr="00BE2492">
        <w:rPr>
          <w:rFonts w:eastAsia="Times New Roman CYR" w:cs="Times New Roman"/>
          <w:sz w:val="20"/>
          <w:szCs w:val="20"/>
        </w:rPr>
        <w:t xml:space="preserve">оплата производится Заказчиком по безналичному расчету в течение 7 (семи) рабочих дней с даты предоставления Исполнителем </w:t>
      </w:r>
      <w:r w:rsidRPr="00BE2492">
        <w:rPr>
          <w:rFonts w:cs="Times New Roman"/>
          <w:color w:val="000000"/>
          <w:sz w:val="20"/>
          <w:szCs w:val="20"/>
        </w:rPr>
        <w:t>подписанного Сторонами, актов приема-передачи Изделия, реестра выполненных работ, акта выполненных работ, отрывного талона к направлению, а также счета на оплату.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 w:rsidRPr="00BE2492"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 xml:space="preserve"> Размер обеспечения исполнения государственного контракта:</w:t>
      </w:r>
      <w:r w:rsidRPr="00BE2492"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BE2492" w:rsidRPr="00BE2492" w:rsidRDefault="00BE2492" w:rsidP="00BE2492">
      <w:pPr>
        <w:numPr>
          <w:ilvl w:val="0"/>
          <w:numId w:val="4"/>
        </w:numPr>
        <w:jc w:val="both"/>
        <w:textAlignment w:val="baseline"/>
      </w:pPr>
      <w:r w:rsidRPr="00BE2492"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 xml:space="preserve"> </w:t>
      </w:r>
      <w:r w:rsidRPr="00BE2492"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 w:rsidRPr="00BE2492"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BE2492" w:rsidRPr="00BE2492" w:rsidRDefault="00BE2492" w:rsidP="00BE2492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textAlignment w:val="baseline"/>
        <w:rPr>
          <w:rFonts w:eastAsia="Times New Roman CYR" w:cs="Times New Roman"/>
          <w:color w:val="000000"/>
          <w:sz w:val="20"/>
          <w:szCs w:val="20"/>
        </w:rPr>
      </w:pPr>
    </w:p>
    <w:p w:rsidR="00BE2492" w:rsidRPr="00BE2492" w:rsidRDefault="00BE2492" w:rsidP="00BE2492"/>
    <w:sectPr w:rsidR="00BE2492" w:rsidRPr="00BE2492" w:rsidSect="00BE24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FB"/>
    <w:multiLevelType w:val="multilevel"/>
    <w:tmpl w:val="5E845AE4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C14A92"/>
    <w:multiLevelType w:val="multilevel"/>
    <w:tmpl w:val="2B4EA43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abstractNum w:abstractNumId="2">
    <w:nsid w:val="3B416945"/>
    <w:multiLevelType w:val="multilevel"/>
    <w:tmpl w:val="9314E7AA"/>
    <w:lvl w:ilvl="0">
      <w:start w:val="1"/>
      <w:numFmt w:val="decimal"/>
      <w:lvlText w:val="%1."/>
      <w:lvlJc w:val="left"/>
      <w:pPr>
        <w:ind w:left="1287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8813DD"/>
    <w:multiLevelType w:val="multilevel"/>
    <w:tmpl w:val="86C0133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/>
        <w:bCs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D3"/>
    <w:rsid w:val="000B42B5"/>
    <w:rsid w:val="004B5ED3"/>
    <w:rsid w:val="0074413A"/>
    <w:rsid w:val="00823B19"/>
    <w:rsid w:val="00BE2492"/>
    <w:rsid w:val="00C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6896-3EBE-48FB-9228-4C62A77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2E2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2E2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4</cp:revision>
  <dcterms:created xsi:type="dcterms:W3CDTF">2022-05-30T06:43:00Z</dcterms:created>
  <dcterms:modified xsi:type="dcterms:W3CDTF">2022-05-30T06:52:00Z</dcterms:modified>
</cp:coreProperties>
</file>