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53" w:rsidRPr="00D754AA" w:rsidRDefault="00CD5653" w:rsidP="00CD5653">
      <w:pPr>
        <w:suppressAutoHyphens w:val="0"/>
        <w:jc w:val="center"/>
        <w:rPr>
          <w:b/>
        </w:rPr>
      </w:pPr>
      <w:r w:rsidRPr="00D754AA">
        <w:rPr>
          <w:b/>
        </w:rPr>
        <w:t>Описание объекта закупки.</w:t>
      </w:r>
    </w:p>
    <w:p w:rsidR="00FB48C9" w:rsidRDefault="0044724D" w:rsidP="00FB48C9">
      <w:pPr>
        <w:jc w:val="center"/>
        <w:rPr>
          <w:b/>
        </w:rPr>
      </w:pPr>
      <w:r w:rsidRPr="0044724D">
        <w:rPr>
          <w:b/>
        </w:rPr>
        <w:t>Поставка инвалидам специальных средств при нарушении функций выделения в 2023 году</w:t>
      </w:r>
      <w:bookmarkStart w:id="0" w:name="_GoBack"/>
      <w:bookmarkEnd w:id="0"/>
    </w:p>
    <w:p w:rsidR="00FB48C9" w:rsidRPr="00D34F16" w:rsidRDefault="00FB48C9" w:rsidP="00FB48C9">
      <w:pPr>
        <w:jc w:val="center"/>
        <w:rPr>
          <w:i/>
          <w:u w:val="single"/>
        </w:rPr>
      </w:pPr>
    </w:p>
    <w:p w:rsidR="00FB48C9" w:rsidRPr="008A456C" w:rsidRDefault="00FB48C9" w:rsidP="00FB48C9">
      <w:pPr>
        <w:jc w:val="center"/>
        <w:rPr>
          <w:b/>
          <w:bCs/>
          <w:kern w:val="1"/>
        </w:rPr>
      </w:pPr>
      <w:r w:rsidRPr="008A456C">
        <w:rPr>
          <w:b/>
          <w:bCs/>
          <w:kern w:val="1"/>
        </w:rPr>
        <w:t>Функциональные и качественные характеристики, потребительские свойства поставляемого товара.</w:t>
      </w:r>
    </w:p>
    <w:p w:rsidR="00FB48C9" w:rsidRPr="008A456C" w:rsidRDefault="00FB48C9" w:rsidP="00FB48C9">
      <w:pPr>
        <w:spacing w:line="200" w:lineRule="atLeast"/>
        <w:ind w:firstLine="709"/>
        <w:jc w:val="both"/>
        <w:rPr>
          <w:bCs/>
        </w:rPr>
      </w:pPr>
      <w:r w:rsidRPr="008A456C">
        <w:rPr>
          <w:bCs/>
        </w:rPr>
        <w:t>Классификация средств для самообслуживания и индивидуальной защиты представлена в Национальном стандарте ГОСТ Р ИСО 9999-201</w:t>
      </w:r>
      <w:r>
        <w:rPr>
          <w:bCs/>
        </w:rPr>
        <w:t>9</w:t>
      </w:r>
      <w:r w:rsidRPr="008A456C">
        <w:rPr>
          <w:bCs/>
        </w:rPr>
        <w:t xml:space="preserve"> «Вспомогательные средства для людей с ограничениями жизнедеятельности. Классификация и терминология»</w:t>
      </w:r>
    </w:p>
    <w:p w:rsidR="00FB48C9" w:rsidRPr="008A456C" w:rsidRDefault="00FB48C9" w:rsidP="00FB48C9">
      <w:pPr>
        <w:tabs>
          <w:tab w:val="left" w:pos="0"/>
        </w:tabs>
        <w:ind w:firstLine="709"/>
        <w:jc w:val="both"/>
        <w:rPr>
          <w:bCs/>
        </w:rPr>
      </w:pPr>
      <w:r w:rsidRPr="008A456C">
        <w:rPr>
          <w:bCs/>
        </w:rPr>
        <w:t>Товары должны иметь действующие регистрационные удостоверения.</w:t>
      </w:r>
    </w:p>
    <w:p w:rsidR="00FB48C9" w:rsidRPr="008A456C" w:rsidRDefault="00FB48C9" w:rsidP="00FB48C9">
      <w:pPr>
        <w:tabs>
          <w:tab w:val="left" w:pos="708"/>
        </w:tabs>
        <w:ind w:firstLine="709"/>
        <w:jc w:val="center"/>
        <w:rPr>
          <w:b/>
          <w:bCs/>
        </w:rPr>
      </w:pPr>
      <w:r w:rsidRPr="008A456C">
        <w:rPr>
          <w:b/>
          <w:bCs/>
        </w:rPr>
        <w:t>Требования к безопасности товара</w:t>
      </w:r>
    </w:p>
    <w:p w:rsidR="00FB48C9" w:rsidRPr="008A456C" w:rsidRDefault="00FB48C9" w:rsidP="00FB48C9">
      <w:pPr>
        <w:ind w:firstLine="709"/>
        <w:contextualSpacing/>
        <w:jc w:val="both"/>
        <w:rPr>
          <w:bCs/>
        </w:rPr>
      </w:pPr>
      <w:r w:rsidRPr="008A456C">
        <w:rPr>
          <w:bCs/>
        </w:rPr>
        <w:t>Специальные средства при нарушениях функций выделения моче- и калоприемники должны соответствовать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цитотоксичность: методы in vitro",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FB48C9" w:rsidRPr="008A456C" w:rsidRDefault="00FB48C9" w:rsidP="00FB48C9">
      <w:pPr>
        <w:ind w:firstLine="709"/>
        <w:contextualSpacing/>
        <w:jc w:val="both"/>
        <w:rPr>
          <w:bCs/>
        </w:rPr>
      </w:pPr>
      <w:r w:rsidRPr="008A456C">
        <w:rPr>
          <w:bCs/>
        </w:rPr>
        <w:t>Сырье и материалы для изготовления специальных средств при нарушениях функций выделения моче- и калоприемников должны быть разрешены к применению Министерством здравоохранения и социального развития Российской Федерации.</w:t>
      </w:r>
    </w:p>
    <w:p w:rsidR="00FB48C9" w:rsidRPr="008A456C" w:rsidRDefault="00FB48C9" w:rsidP="00FB48C9">
      <w:pPr>
        <w:spacing w:line="200" w:lineRule="atLeast"/>
        <w:jc w:val="center"/>
        <w:rPr>
          <w:b/>
          <w:bCs/>
        </w:rPr>
      </w:pPr>
      <w:r w:rsidRPr="008A456C">
        <w:rPr>
          <w:b/>
          <w:bCs/>
        </w:rPr>
        <w:t>Требования к качеству</w:t>
      </w:r>
    </w:p>
    <w:p w:rsidR="00FB48C9" w:rsidRPr="008A456C" w:rsidRDefault="00FB48C9" w:rsidP="00FB48C9">
      <w:pPr>
        <w:ind w:firstLine="709"/>
        <w:contextualSpacing/>
        <w:jc w:val="both"/>
        <w:rPr>
          <w:bCs/>
        </w:rPr>
      </w:pPr>
      <w:r w:rsidRPr="008A456C">
        <w:rPr>
          <w:bCs/>
        </w:rPr>
        <w:t>В специальных средствах при нарушениях функций выделения моче- и калоприемниках не допускаются механические повреждения (разрыв края, разрезы и т.п.).</w:t>
      </w:r>
    </w:p>
    <w:p w:rsidR="00FB48C9" w:rsidRPr="008A456C" w:rsidRDefault="00FB48C9" w:rsidP="00FB48C9">
      <w:pPr>
        <w:spacing w:line="240" w:lineRule="atLeast"/>
        <w:ind w:firstLine="708"/>
        <w:jc w:val="center"/>
        <w:rPr>
          <w:b/>
          <w:bCs/>
        </w:rPr>
      </w:pPr>
      <w:r w:rsidRPr="008A456C">
        <w:rPr>
          <w:b/>
          <w:bCs/>
        </w:rPr>
        <w:t>Требования к размерам, упаковке и отгрузке товара</w:t>
      </w:r>
    </w:p>
    <w:p w:rsidR="00FB48C9" w:rsidRPr="008A456C" w:rsidRDefault="00FB48C9" w:rsidP="00FB48C9">
      <w:pPr>
        <w:autoSpaceDE w:val="0"/>
        <w:ind w:firstLine="709"/>
        <w:jc w:val="both"/>
      </w:pPr>
      <w:r w:rsidRPr="008A456C">
        <w:t>Хранение должно осуществляться в соответствии с требованиями, предъявляемыми к данной категории товара.</w:t>
      </w:r>
    </w:p>
    <w:p w:rsidR="00FB48C9" w:rsidRPr="008A456C" w:rsidRDefault="00FB48C9" w:rsidP="00FB48C9">
      <w:pPr>
        <w:autoSpaceDE w:val="0"/>
        <w:ind w:firstLine="709"/>
        <w:jc w:val="both"/>
      </w:pPr>
      <w:r w:rsidRPr="008A456C">
        <w:t>Упаковка специальных средств при нарушениях функций выделения моче- и калоприемников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B48C9" w:rsidRPr="008A456C" w:rsidRDefault="00FB48C9" w:rsidP="00FB48C9">
      <w:pPr>
        <w:autoSpaceDE w:val="0"/>
        <w:ind w:firstLine="709"/>
        <w:jc w:val="both"/>
      </w:pPr>
      <w:r w:rsidRPr="008A456C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FB48C9" w:rsidRPr="008A456C" w:rsidRDefault="00FB48C9" w:rsidP="00FB48C9">
      <w:pPr>
        <w:autoSpaceDE w:val="0"/>
        <w:ind w:firstLine="709"/>
        <w:jc w:val="both"/>
      </w:pPr>
      <w:r w:rsidRPr="008A456C">
        <w:t>Маркировка упаковки специальных средств при нарушениях функций выделения моче- и калоприемников должна включать:</w:t>
      </w:r>
    </w:p>
    <w:p w:rsidR="00FB48C9" w:rsidRPr="008A456C" w:rsidRDefault="00FB48C9" w:rsidP="00FB48C9">
      <w:pPr>
        <w:autoSpaceDE w:val="0"/>
        <w:ind w:firstLine="709"/>
        <w:jc w:val="both"/>
      </w:pPr>
      <w:r w:rsidRPr="008A456C">
        <w:t>- условное обозначение группы товаров, товарную марку (при наличии), обозначение номера товара (при наличии);</w:t>
      </w:r>
    </w:p>
    <w:p w:rsidR="00FB48C9" w:rsidRPr="008A456C" w:rsidRDefault="00FB48C9" w:rsidP="00FB48C9">
      <w:pPr>
        <w:autoSpaceDE w:val="0"/>
        <w:ind w:firstLine="709"/>
        <w:jc w:val="both"/>
      </w:pPr>
      <w:r w:rsidRPr="008A456C">
        <w:t>- страну-изготовителя;</w:t>
      </w:r>
    </w:p>
    <w:p w:rsidR="00FB48C9" w:rsidRPr="008A456C" w:rsidRDefault="00FB48C9" w:rsidP="00FB48C9">
      <w:pPr>
        <w:autoSpaceDE w:val="0"/>
        <w:ind w:firstLine="709"/>
        <w:jc w:val="both"/>
      </w:pPr>
      <w:r w:rsidRPr="008A456C">
        <w:t>- наименование предприятия-изготовителя, юридический адрес, товарный знак (при наличии);</w:t>
      </w:r>
    </w:p>
    <w:p w:rsidR="00FB48C9" w:rsidRPr="008A456C" w:rsidRDefault="00FB48C9" w:rsidP="00FB48C9">
      <w:pPr>
        <w:autoSpaceDE w:val="0"/>
        <w:ind w:firstLine="709"/>
        <w:jc w:val="both"/>
      </w:pPr>
      <w:r w:rsidRPr="008A456C">
        <w:t>- отличительные характеристики товаров в соответствии с их техническим исполнением (при наличии);</w:t>
      </w:r>
    </w:p>
    <w:p w:rsidR="00FB48C9" w:rsidRPr="008A456C" w:rsidRDefault="00FB48C9" w:rsidP="00FB48C9">
      <w:pPr>
        <w:autoSpaceDE w:val="0"/>
        <w:ind w:firstLine="709"/>
        <w:jc w:val="both"/>
      </w:pPr>
      <w:r w:rsidRPr="008A456C">
        <w:t>- номер артикула (при наличии);</w:t>
      </w:r>
    </w:p>
    <w:p w:rsidR="00FB48C9" w:rsidRPr="008A456C" w:rsidRDefault="00FB48C9" w:rsidP="00FB48C9">
      <w:pPr>
        <w:autoSpaceDE w:val="0"/>
        <w:ind w:firstLine="709"/>
        <w:jc w:val="both"/>
      </w:pPr>
      <w:r w:rsidRPr="008A456C">
        <w:t>- количество товара в упаковке;</w:t>
      </w:r>
    </w:p>
    <w:p w:rsidR="00FB48C9" w:rsidRPr="008A456C" w:rsidRDefault="00FB48C9" w:rsidP="00FB48C9">
      <w:pPr>
        <w:autoSpaceDE w:val="0"/>
        <w:ind w:firstLine="709"/>
        <w:jc w:val="both"/>
      </w:pPr>
      <w:r w:rsidRPr="008A456C">
        <w:t>- дату (месяц, год) изготовления или гарантийный срок годности (при наличии);</w:t>
      </w:r>
    </w:p>
    <w:p w:rsidR="00FB48C9" w:rsidRPr="008A456C" w:rsidRDefault="00FB48C9" w:rsidP="00FB48C9">
      <w:pPr>
        <w:widowControl w:val="0"/>
        <w:tabs>
          <w:tab w:val="left" w:pos="708"/>
        </w:tabs>
        <w:ind w:firstLine="709"/>
        <w:jc w:val="both"/>
      </w:pPr>
      <w:r w:rsidRPr="008A456C">
        <w:t>- правила использования (при необходимости);</w:t>
      </w:r>
    </w:p>
    <w:p w:rsidR="00FB48C9" w:rsidRPr="008A456C" w:rsidRDefault="00FB48C9" w:rsidP="00FB48C9">
      <w:pPr>
        <w:widowControl w:val="0"/>
        <w:tabs>
          <w:tab w:val="left" w:pos="708"/>
        </w:tabs>
        <w:ind w:firstLine="709"/>
        <w:jc w:val="both"/>
      </w:pPr>
      <w:r w:rsidRPr="008A456C">
        <w:t>- штриховой код Товара (при наличии);</w:t>
      </w:r>
    </w:p>
    <w:p w:rsidR="00FB48C9" w:rsidRPr="008A456C" w:rsidRDefault="00FB48C9" w:rsidP="00FB48C9">
      <w:pPr>
        <w:widowControl w:val="0"/>
        <w:tabs>
          <w:tab w:val="left" w:pos="708"/>
        </w:tabs>
        <w:spacing w:line="200" w:lineRule="atLeast"/>
        <w:ind w:firstLine="709"/>
        <w:jc w:val="both"/>
      </w:pPr>
      <w:r w:rsidRPr="008A456C">
        <w:t>- информацию о сертификации (при наличии).</w:t>
      </w:r>
    </w:p>
    <w:p w:rsidR="00FB48C9" w:rsidRPr="008A456C" w:rsidRDefault="00FB48C9" w:rsidP="00FB48C9">
      <w:pPr>
        <w:autoSpaceDE w:val="0"/>
        <w:spacing w:line="200" w:lineRule="atLeast"/>
        <w:ind w:firstLine="709"/>
        <w:jc w:val="center"/>
        <w:rPr>
          <w:b/>
          <w:bCs/>
        </w:rPr>
      </w:pPr>
      <w:r w:rsidRPr="008A456C">
        <w:rPr>
          <w:b/>
          <w:bCs/>
        </w:rPr>
        <w:t>Иные показатели, связанные с определением соответствия поставляемого товара</w:t>
      </w:r>
    </w:p>
    <w:p w:rsidR="00FB48C9" w:rsidRPr="008A456C" w:rsidRDefault="00FB48C9" w:rsidP="00FB48C9">
      <w:pPr>
        <w:spacing w:line="200" w:lineRule="atLeast"/>
        <w:ind w:firstLine="851"/>
        <w:jc w:val="both"/>
      </w:pPr>
      <w:r w:rsidRPr="008A456C"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FB48C9" w:rsidRPr="008A456C" w:rsidRDefault="00FB48C9" w:rsidP="00FB48C9">
      <w:pPr>
        <w:spacing w:line="200" w:lineRule="atLeast"/>
        <w:ind w:firstLine="709"/>
        <w:jc w:val="both"/>
      </w:pPr>
      <w:r w:rsidRPr="008A456C">
        <w:t xml:space="preserve">Потребительская упаковка специальных средств ухода вокруг </w:t>
      </w:r>
      <w:proofErr w:type="spellStart"/>
      <w:r w:rsidRPr="008A456C">
        <w:t>стомы</w:t>
      </w:r>
      <w:proofErr w:type="spellEnd"/>
      <w:r w:rsidRPr="008A456C">
        <w:t>: каждый Товар стерильно упаковано.</w:t>
      </w:r>
    </w:p>
    <w:p w:rsidR="00FB48C9" w:rsidRPr="008A456C" w:rsidRDefault="00FB48C9" w:rsidP="00FB48C9">
      <w:pPr>
        <w:spacing w:line="200" w:lineRule="atLeast"/>
        <w:ind w:firstLine="709"/>
        <w:jc w:val="both"/>
      </w:pPr>
      <w:r w:rsidRPr="008A456C">
        <w:lastRenderedPageBreak/>
        <w:t xml:space="preserve">На этикетке нанесено название Товара, его основное предназначение, указаны стандарты, по которым Товар произведен, дата изготовления, дата конечного использования, стерильность, </w:t>
      </w:r>
      <w:proofErr w:type="spellStart"/>
      <w:r w:rsidRPr="008A456C">
        <w:t>апирогенность</w:t>
      </w:r>
      <w:proofErr w:type="spellEnd"/>
      <w:r w:rsidRPr="008A456C">
        <w:t>, метод стерилизации, производитель.</w:t>
      </w:r>
    </w:p>
    <w:p w:rsidR="00FB48C9" w:rsidRPr="008A456C" w:rsidRDefault="00FB48C9" w:rsidP="00FB48C9">
      <w:pPr>
        <w:spacing w:line="200" w:lineRule="atLeast"/>
        <w:ind w:firstLine="709"/>
        <w:jc w:val="both"/>
      </w:pPr>
      <w:r w:rsidRPr="008A456C">
        <w:t>Товар по 5-30 штук упакован в картонную коробку, этикетка которой содержит ту же информацию, что и этикетка на индивидуальной упаковке, дополнительно указывается название и адрес представительства в РФ, номер и дата регистрационного Удостоверения. Внутрь стерильного Товара вложена инструкция по медицинскому применению.</w:t>
      </w:r>
    </w:p>
    <w:p w:rsidR="00FB48C9" w:rsidRPr="008A456C" w:rsidRDefault="00FB48C9" w:rsidP="00FB48C9">
      <w:pPr>
        <w:autoSpaceDE w:val="0"/>
        <w:ind w:firstLine="709"/>
        <w:jc w:val="center"/>
        <w:rPr>
          <w:b/>
          <w:bCs/>
        </w:rPr>
      </w:pPr>
      <w:r w:rsidRPr="008A456C">
        <w:rPr>
          <w:b/>
          <w:bCs/>
        </w:rPr>
        <w:t>Требования к сроку и (или) объему предоставленных гарантий качества поставляемого товара</w:t>
      </w:r>
    </w:p>
    <w:p w:rsidR="00FB48C9" w:rsidRPr="008A456C" w:rsidRDefault="00FB48C9" w:rsidP="00FB48C9">
      <w:pPr>
        <w:widowControl w:val="0"/>
        <w:autoSpaceDE w:val="0"/>
        <w:ind w:firstLine="709"/>
        <w:jc w:val="both"/>
      </w:pPr>
      <w:r w:rsidRPr="008A456C">
        <w:t xml:space="preserve">Специальные средства при нарушениях функций выделения моче- и калоприемники должны соответствовать требованиям Федерального закона от 21.11.2011 года </w:t>
      </w:r>
      <w:r w:rsidR="00980668">
        <w:t xml:space="preserve"> </w:t>
      </w:r>
      <w:r w:rsidRPr="008A456C">
        <w:t xml:space="preserve"> № 323-ФЗ «Об основах охраны здоровья граждан в Российской Федерации».</w:t>
      </w:r>
    </w:p>
    <w:p w:rsidR="00FB48C9" w:rsidRDefault="00FB48C9" w:rsidP="00FB48C9">
      <w:pPr>
        <w:widowControl w:val="0"/>
        <w:autoSpaceDE w:val="0"/>
        <w:ind w:firstLine="709"/>
        <w:jc w:val="both"/>
      </w:pPr>
      <w:r w:rsidRPr="008A456C">
        <w:t>Срок годности специальных средств при нарушениях функций выделения моче- и калоприемников - на момент выдачи Товара должен быть не менее 1 года</w:t>
      </w:r>
      <w:r>
        <w:t>.</w:t>
      </w:r>
    </w:p>
    <w:p w:rsidR="00FB48C9" w:rsidRPr="00843DD5" w:rsidRDefault="00FB48C9" w:rsidP="00FB48C9">
      <w:pPr>
        <w:autoSpaceDE w:val="0"/>
        <w:ind w:firstLine="709"/>
        <w:jc w:val="center"/>
        <w:rPr>
          <w:b/>
          <w:bCs/>
        </w:rPr>
      </w:pPr>
      <w:r w:rsidRPr="00843DD5">
        <w:rPr>
          <w:b/>
          <w:bCs/>
        </w:rPr>
        <w:t>Требования к месту, условиям, объемам и срокам (периодам) поставки</w:t>
      </w:r>
    </w:p>
    <w:p w:rsidR="00FB48C9" w:rsidRDefault="00FB48C9" w:rsidP="00FB48C9">
      <w:pPr>
        <w:ind w:firstLine="708"/>
        <w:jc w:val="both"/>
      </w:pPr>
      <w:r w:rsidRPr="00A41F65">
        <w:t xml:space="preserve">Поставить все количество </w:t>
      </w:r>
      <w:r>
        <w:t xml:space="preserve">Товара </w:t>
      </w:r>
      <w:r w:rsidRPr="00A41F65">
        <w:t xml:space="preserve">на территорию </w:t>
      </w:r>
      <w:r>
        <w:t xml:space="preserve">города Севастополя </w:t>
      </w:r>
      <w:r w:rsidRPr="00A41F65">
        <w:t xml:space="preserve">в соответствии с </w:t>
      </w:r>
      <w:r w:rsidRPr="006C6873">
        <w:t>Таблицей №1</w:t>
      </w:r>
      <w:r w:rsidRPr="00A41F65">
        <w:t xml:space="preserve"> на склад Поставщика или иное помещение, находящееся в его распоряжении или со</w:t>
      </w:r>
      <w:r>
        <w:t xml:space="preserve">бственности, </w:t>
      </w:r>
      <w:r w:rsidRPr="0009226A">
        <w:t xml:space="preserve">в течение </w:t>
      </w:r>
      <w:r>
        <w:t>10</w:t>
      </w:r>
      <w:r w:rsidRPr="0009226A">
        <w:t xml:space="preserve"> (</w:t>
      </w:r>
      <w:r>
        <w:t>дес</w:t>
      </w:r>
      <w:r w:rsidRPr="0009226A">
        <w:t>яти) рабочих</w:t>
      </w:r>
      <w:r>
        <w:t xml:space="preserve"> </w:t>
      </w:r>
      <w:r w:rsidRPr="0024330D">
        <w:t>дней</w:t>
      </w:r>
      <w:r w:rsidRPr="00A41F65">
        <w:t xml:space="preserve"> с даты подписания Государственного контракта для осуществления проверки качества </w:t>
      </w:r>
      <w:r>
        <w:t>товара</w:t>
      </w:r>
      <w:r w:rsidRPr="00A41F65">
        <w:t>.</w:t>
      </w:r>
    </w:p>
    <w:p w:rsidR="00FB48C9" w:rsidRPr="00BC0CC3" w:rsidRDefault="00FB48C9" w:rsidP="00FB48C9">
      <w:pPr>
        <w:pStyle w:val="a7"/>
        <w:spacing w:line="200" w:lineRule="atLeast"/>
        <w:ind w:left="0" w:firstLine="709"/>
        <w:rPr>
          <w:lang w:eastAsia="ru-RU"/>
        </w:rPr>
      </w:pPr>
      <w:r w:rsidRPr="00BC0CC3">
        <w:rPr>
          <w:lang w:eastAsia="ru-RU"/>
        </w:rPr>
        <w:t xml:space="preserve">В течение двух рабочих дней после поставки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объему,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FB48C9" w:rsidRPr="00843DD5" w:rsidRDefault="00FB48C9" w:rsidP="00FB48C9">
      <w:pPr>
        <w:spacing w:line="200" w:lineRule="atLeast"/>
        <w:ind w:firstLine="709"/>
        <w:jc w:val="both"/>
      </w:pPr>
      <w:r w:rsidRPr="00843DD5"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D342F4" w:rsidRDefault="00CD5653" w:rsidP="00CD5653">
      <w:pPr>
        <w:jc w:val="right"/>
        <w:rPr>
          <w:szCs w:val="23"/>
        </w:rPr>
      </w:pPr>
      <w:r w:rsidRPr="00114D24">
        <w:rPr>
          <w:szCs w:val="23"/>
        </w:rPr>
        <w:t>Таблица №1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8"/>
        <w:gridCol w:w="1134"/>
      </w:tblGrid>
      <w:tr w:rsidR="00EA7D8A" w:rsidRPr="003916CE" w:rsidTr="00980668">
        <w:trPr>
          <w:trHeight w:val="774"/>
        </w:trPr>
        <w:tc>
          <w:tcPr>
            <w:tcW w:w="1271" w:type="dxa"/>
            <w:vAlign w:val="center"/>
          </w:tcPr>
          <w:p w:rsidR="00EA7D8A" w:rsidRPr="003916CE" w:rsidRDefault="00EA7D8A" w:rsidP="0077615A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Наименование</w:t>
            </w:r>
          </w:p>
          <w:p w:rsidR="00EA7D8A" w:rsidRPr="003916CE" w:rsidRDefault="00EA7D8A" w:rsidP="0077615A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Товара</w:t>
            </w:r>
          </w:p>
        </w:tc>
        <w:tc>
          <w:tcPr>
            <w:tcW w:w="7938" w:type="dxa"/>
            <w:vAlign w:val="center"/>
          </w:tcPr>
          <w:p w:rsidR="00EA7D8A" w:rsidRPr="003916CE" w:rsidRDefault="00EA7D8A" w:rsidP="0077615A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Описание Товара</w:t>
            </w:r>
          </w:p>
        </w:tc>
        <w:tc>
          <w:tcPr>
            <w:tcW w:w="1134" w:type="dxa"/>
            <w:vAlign w:val="center"/>
          </w:tcPr>
          <w:p w:rsidR="00EA7D8A" w:rsidRPr="003916CE" w:rsidRDefault="00EA7D8A" w:rsidP="0077615A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Кол-во (шт.)</w:t>
            </w:r>
          </w:p>
        </w:tc>
      </w:tr>
      <w:tr w:rsidR="00EA7D8A" w:rsidRPr="003916CE" w:rsidTr="00980668">
        <w:trPr>
          <w:trHeight w:val="1679"/>
        </w:trPr>
        <w:tc>
          <w:tcPr>
            <w:tcW w:w="1271" w:type="dxa"/>
            <w:vAlign w:val="center"/>
          </w:tcPr>
          <w:p w:rsidR="00EA7D8A" w:rsidRPr="006701A3" w:rsidRDefault="00FB48C9" w:rsidP="00422EE5">
            <w:pPr>
              <w:widowControl w:val="0"/>
              <w:jc w:val="center"/>
              <w:rPr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>Анальный тампон (средство ухода при недержании кала)</w:t>
            </w:r>
          </w:p>
        </w:tc>
        <w:tc>
          <w:tcPr>
            <w:tcW w:w="7938" w:type="dxa"/>
            <w:vAlign w:val="center"/>
          </w:tcPr>
          <w:p w:rsidR="00EA7D8A" w:rsidRPr="006701A3" w:rsidRDefault="00FB48C9" w:rsidP="00EA7D8A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>Анальный тампон должен быть изготовлен из полиуретана и покрыт растворимой пленкой. Средство ухода при нарушении дефекации. Используется взрослыми и детьми с 5 лет. Должен иметь не менее 2 размеров: не более 37 мм, не более 45 мм. Каждый тампон должен находиться в индивидуальной упаковке</w:t>
            </w:r>
            <w:r w:rsidR="006701A3" w:rsidRPr="006701A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701A3" w:rsidRPr="006701A3" w:rsidRDefault="00980668" w:rsidP="0065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  <w:p w:rsidR="00EA7D8A" w:rsidRPr="006701A3" w:rsidRDefault="00EA7D8A" w:rsidP="00655324">
            <w:pPr>
              <w:jc w:val="center"/>
              <w:rPr>
                <w:sz w:val="20"/>
                <w:szCs w:val="20"/>
              </w:rPr>
            </w:pPr>
          </w:p>
        </w:tc>
      </w:tr>
      <w:tr w:rsidR="006701A3" w:rsidRPr="003916CE" w:rsidTr="00980668">
        <w:trPr>
          <w:trHeight w:val="2967"/>
        </w:trPr>
        <w:tc>
          <w:tcPr>
            <w:tcW w:w="1271" w:type="dxa"/>
            <w:vAlign w:val="center"/>
          </w:tcPr>
          <w:p w:rsidR="006701A3" w:rsidRPr="006701A3" w:rsidRDefault="006701A3" w:rsidP="006701A3">
            <w:pPr>
              <w:widowControl w:val="0"/>
              <w:jc w:val="center"/>
              <w:rPr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7938" w:type="dxa"/>
            <w:vAlign w:val="center"/>
          </w:tcPr>
          <w:p w:rsidR="006701A3" w:rsidRPr="006701A3" w:rsidRDefault="006701A3" w:rsidP="006701A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 xml:space="preserve">Паста-герметик должна выравнивать шрамы, впадинки, складки на коже вокруг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. При заполнении зазоров между кожей и пластиной, образовывать высокоэффективный, влагонепроницаемый барьер, препятствующий затеканию содержимого под адгезивную пластину. Также паста должна обладать свойством выравнивания неровностей при нанесении на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перистомальную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кожу. Паста должна быть изготовлена на основе гидроколлоидного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адгезива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. Представлена паста должна быть в тубах, не менее 60 г.  </w:t>
            </w:r>
          </w:p>
        </w:tc>
        <w:tc>
          <w:tcPr>
            <w:tcW w:w="1134" w:type="dxa"/>
          </w:tcPr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Pr="006701A3" w:rsidRDefault="00CD6E47" w:rsidP="0065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  <w:p w:rsidR="006701A3" w:rsidRP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1A3" w:rsidRPr="004974FB" w:rsidTr="00980668">
        <w:trPr>
          <w:trHeight w:val="1691"/>
        </w:trPr>
        <w:tc>
          <w:tcPr>
            <w:tcW w:w="1271" w:type="dxa"/>
          </w:tcPr>
          <w:p w:rsidR="006701A3" w:rsidRPr="006701A3" w:rsidRDefault="006701A3" w:rsidP="006701A3">
            <w:pPr>
              <w:widowControl w:val="0"/>
              <w:jc w:val="center"/>
              <w:rPr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lastRenderedPageBreak/>
              <w:t xml:space="preserve">Паста-герметик для защиты и выравнивания кожи вокруг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в полосках, не менее 60 г</w:t>
            </w:r>
          </w:p>
        </w:tc>
        <w:tc>
          <w:tcPr>
            <w:tcW w:w="7938" w:type="dxa"/>
          </w:tcPr>
          <w:p w:rsidR="006701A3" w:rsidRPr="006701A3" w:rsidRDefault="006701A3" w:rsidP="006701A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 xml:space="preserve">Паста-герметик должна выравнивать шрамы, впадинки, складки на коже вокруг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. При заполнении зазоров между кожей и пластиной, образовывать высокоэффективный, влагонепроницаемый барьер, препятствующий затеканию содержимого под адгезивную пластину. Также паста должна обладать свойством выравнивания неровностей при нанесении на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перистомальную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кожу. Паста должна быть изготовлена на основе гидроколлоидного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адгезива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. Представлена паста должна быть в виде полосок, одна </w:t>
            </w:r>
            <w:proofErr w:type="gramStart"/>
            <w:r w:rsidRPr="006701A3">
              <w:rPr>
                <w:color w:val="000000"/>
                <w:sz w:val="20"/>
                <w:szCs w:val="20"/>
              </w:rPr>
              <w:t>полоска  не</w:t>
            </w:r>
            <w:proofErr w:type="gramEnd"/>
            <w:r w:rsidRPr="006701A3">
              <w:rPr>
                <w:color w:val="000000"/>
                <w:sz w:val="20"/>
                <w:szCs w:val="20"/>
              </w:rPr>
              <w:t xml:space="preserve"> менее 6 г.</w:t>
            </w:r>
          </w:p>
        </w:tc>
        <w:tc>
          <w:tcPr>
            <w:tcW w:w="1134" w:type="dxa"/>
          </w:tcPr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01A3" w:rsidRPr="006701A3" w:rsidRDefault="00CD6E47" w:rsidP="0065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  <w:p w:rsidR="006701A3" w:rsidRPr="006701A3" w:rsidRDefault="006701A3" w:rsidP="00655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1A3" w:rsidRPr="004974FB" w:rsidTr="00980668">
        <w:trPr>
          <w:trHeight w:val="1550"/>
        </w:trPr>
        <w:tc>
          <w:tcPr>
            <w:tcW w:w="1271" w:type="dxa"/>
            <w:vAlign w:val="center"/>
          </w:tcPr>
          <w:p w:rsidR="006701A3" w:rsidRPr="006701A3" w:rsidRDefault="006701A3" w:rsidP="006701A3">
            <w:pPr>
              <w:widowControl w:val="0"/>
              <w:jc w:val="center"/>
              <w:rPr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7938" w:type="dxa"/>
            <w:vAlign w:val="center"/>
          </w:tcPr>
          <w:p w:rsidR="006701A3" w:rsidRPr="006701A3" w:rsidRDefault="006701A3" w:rsidP="006701A3">
            <w:pPr>
              <w:jc w:val="both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 xml:space="preserve">Крем защитный должен иметь профилактическое увлажняющее средство, восстанавливающее нормальный рН кожи, способствующее заживлению раздраженной кожи, применяться для ухода за кожей вокруг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или фистулы, а также за кожей, подверженной воздействию мочи или каловых масс при недержании. Консистенция защитного крема (пасты) должна быть гладкая, однородная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мазеподобная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масса, иметь маслянистую консистенцию. Крем должен быть сделан на основе гидроколлоидного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адгезива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. Объем одного тюбика не менее 60 мл. </w:t>
            </w:r>
          </w:p>
        </w:tc>
        <w:tc>
          <w:tcPr>
            <w:tcW w:w="1134" w:type="dxa"/>
            <w:vAlign w:val="center"/>
          </w:tcPr>
          <w:p w:rsidR="006701A3" w:rsidRPr="006701A3" w:rsidRDefault="00CD6E47" w:rsidP="0065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701A3" w:rsidRPr="004974FB" w:rsidTr="00980668">
        <w:trPr>
          <w:trHeight w:val="1550"/>
        </w:trPr>
        <w:tc>
          <w:tcPr>
            <w:tcW w:w="1271" w:type="dxa"/>
            <w:vAlign w:val="center"/>
          </w:tcPr>
          <w:p w:rsidR="006701A3" w:rsidRPr="006701A3" w:rsidRDefault="006701A3" w:rsidP="006701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7938" w:type="dxa"/>
            <w:vAlign w:val="center"/>
          </w:tcPr>
          <w:p w:rsidR="006701A3" w:rsidRPr="006701A3" w:rsidRDefault="006701A3" w:rsidP="006701A3">
            <w:pPr>
              <w:jc w:val="both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 xml:space="preserve">Пудра должна представлять гидроколлоидный абсорбирующий порошок, способствующий заживлению кожи вокруг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, а также более длительному ношению моче- и калоприемника, применяться для абсорбции влаги на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мацерированной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коже, а также для ухода за осложненной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перистомальной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кожей. Флакон не менее 25г.</w:t>
            </w:r>
          </w:p>
        </w:tc>
        <w:tc>
          <w:tcPr>
            <w:tcW w:w="1134" w:type="dxa"/>
            <w:vAlign w:val="center"/>
          </w:tcPr>
          <w:p w:rsidR="006701A3" w:rsidRPr="006701A3" w:rsidRDefault="00CD6E47" w:rsidP="0065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01A3" w:rsidRPr="004974FB" w:rsidTr="00980668">
        <w:trPr>
          <w:trHeight w:val="1550"/>
        </w:trPr>
        <w:tc>
          <w:tcPr>
            <w:tcW w:w="1271" w:type="dxa"/>
            <w:vAlign w:val="center"/>
          </w:tcPr>
          <w:p w:rsidR="006701A3" w:rsidRPr="006701A3" w:rsidRDefault="006701A3" w:rsidP="006701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>Защитная пленка во флаконе, не менее 50 мл.</w:t>
            </w:r>
          </w:p>
        </w:tc>
        <w:tc>
          <w:tcPr>
            <w:tcW w:w="7938" w:type="dxa"/>
            <w:vAlign w:val="center"/>
          </w:tcPr>
          <w:p w:rsidR="006701A3" w:rsidRPr="006701A3" w:rsidRDefault="006701A3" w:rsidP="006701A3">
            <w:pPr>
              <w:jc w:val="both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 xml:space="preserve">Защитная пленка должна представлять собой защитное, водоотталкивающее средство, предохраняющее кожу от воздействия выделений из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и повреждений при удалении клеевой пластины, флакон не менее 50 мл.</w:t>
            </w:r>
          </w:p>
        </w:tc>
        <w:tc>
          <w:tcPr>
            <w:tcW w:w="1134" w:type="dxa"/>
            <w:vAlign w:val="center"/>
          </w:tcPr>
          <w:p w:rsidR="006701A3" w:rsidRPr="006701A3" w:rsidRDefault="00CD6E47" w:rsidP="0065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701A3" w:rsidRPr="004974FB" w:rsidTr="00980668">
        <w:trPr>
          <w:trHeight w:val="1550"/>
        </w:trPr>
        <w:tc>
          <w:tcPr>
            <w:tcW w:w="1271" w:type="dxa"/>
            <w:vAlign w:val="center"/>
          </w:tcPr>
          <w:p w:rsidR="006701A3" w:rsidRPr="006701A3" w:rsidRDefault="006701A3" w:rsidP="006701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>Защитная пленка в форме салфеток, не менее 30 шт.</w:t>
            </w:r>
          </w:p>
        </w:tc>
        <w:tc>
          <w:tcPr>
            <w:tcW w:w="7938" w:type="dxa"/>
            <w:vAlign w:val="center"/>
          </w:tcPr>
          <w:p w:rsidR="006701A3" w:rsidRPr="006701A3" w:rsidRDefault="006701A3" w:rsidP="006701A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701A3">
              <w:rPr>
                <w:color w:val="000000"/>
                <w:sz w:val="20"/>
                <w:szCs w:val="20"/>
              </w:rPr>
              <w:t>Зашитная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пленка должна представлять защитное, водоотталкивающее средство, предохраняющее кожу от воздействия выделений из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и повреждений при удалении клеевой пластины. Салфетки должны быть предназначены для однократного применения, в индивидуальной блистерной упаковке,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предтсавлять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собой мягкие, нетканые целлюлозные салфетки, пропитанные защитным раствором. Представлены в виде салфеток, не менее 30 шт.</w:t>
            </w:r>
          </w:p>
        </w:tc>
        <w:tc>
          <w:tcPr>
            <w:tcW w:w="1134" w:type="dxa"/>
            <w:vAlign w:val="center"/>
          </w:tcPr>
          <w:p w:rsidR="006701A3" w:rsidRPr="006701A3" w:rsidRDefault="00CD6E47" w:rsidP="0065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  <w:p w:rsidR="006701A3" w:rsidRPr="006701A3" w:rsidRDefault="006701A3" w:rsidP="00655324">
            <w:pPr>
              <w:jc w:val="center"/>
              <w:rPr>
                <w:sz w:val="20"/>
                <w:szCs w:val="20"/>
              </w:rPr>
            </w:pPr>
          </w:p>
        </w:tc>
      </w:tr>
      <w:tr w:rsidR="006701A3" w:rsidRPr="004974FB" w:rsidTr="00980668">
        <w:trPr>
          <w:trHeight w:val="1550"/>
        </w:trPr>
        <w:tc>
          <w:tcPr>
            <w:tcW w:w="1271" w:type="dxa"/>
            <w:vAlign w:val="center"/>
          </w:tcPr>
          <w:p w:rsidR="006701A3" w:rsidRPr="006701A3" w:rsidRDefault="006701A3" w:rsidP="006701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7938" w:type="dxa"/>
            <w:vAlign w:val="center"/>
          </w:tcPr>
          <w:p w:rsidR="006701A3" w:rsidRPr="006701A3" w:rsidRDefault="006701A3" w:rsidP="006701A3">
            <w:pPr>
              <w:jc w:val="both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 xml:space="preserve">Очиститель для кожи должен представлять собой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или фистулы, а также кожи, </w:t>
            </w:r>
            <w:proofErr w:type="gramStart"/>
            <w:r w:rsidRPr="006701A3">
              <w:rPr>
                <w:color w:val="000000"/>
                <w:sz w:val="20"/>
                <w:szCs w:val="20"/>
              </w:rPr>
              <w:t>подверженной  воздействию</w:t>
            </w:r>
            <w:proofErr w:type="gramEnd"/>
            <w:r w:rsidRPr="006701A3">
              <w:rPr>
                <w:color w:val="000000"/>
                <w:sz w:val="20"/>
                <w:szCs w:val="20"/>
              </w:rPr>
              <w:t xml:space="preserve"> мочи и каловых масс при недержании. Должен обеспечивать гигиену кожи вокруг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адгезивов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и других средств ухода за кожей. Для наружного применения. Флакон не менее 180 мл.</w:t>
            </w:r>
          </w:p>
        </w:tc>
        <w:tc>
          <w:tcPr>
            <w:tcW w:w="1134" w:type="dxa"/>
            <w:vAlign w:val="center"/>
          </w:tcPr>
          <w:p w:rsidR="006701A3" w:rsidRPr="006701A3" w:rsidRDefault="00CD6E47" w:rsidP="0065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6701A3" w:rsidRPr="004974FB" w:rsidTr="00980668">
        <w:trPr>
          <w:trHeight w:val="1550"/>
        </w:trPr>
        <w:tc>
          <w:tcPr>
            <w:tcW w:w="1271" w:type="dxa"/>
            <w:vAlign w:val="center"/>
          </w:tcPr>
          <w:p w:rsidR="006701A3" w:rsidRPr="006701A3" w:rsidRDefault="006701A3" w:rsidP="006701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>Очиститель для кожи в форме салфеток, не менее 30 шт.</w:t>
            </w:r>
          </w:p>
        </w:tc>
        <w:tc>
          <w:tcPr>
            <w:tcW w:w="7938" w:type="dxa"/>
            <w:vAlign w:val="center"/>
          </w:tcPr>
          <w:p w:rsidR="006701A3" w:rsidRPr="006701A3" w:rsidRDefault="006701A3" w:rsidP="006701A3">
            <w:pPr>
              <w:jc w:val="both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 xml:space="preserve">Очиститель для кожи должен представлять собой универсальное очищающее средство, не содержащее раздражающих кожу компонентов. Должно позволять эффективно и безболезненно снимать адгезивную пластину калоприемника и безопасно удалять остатки клеевого слоя, защитной пасты и пленки, комфортно обеспечивать гигиену кожи вокруг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, не препятствовать дальнейшей эффективной адгезии адгезивной пластины калоприемника. Очиститель не должен содержать спирт и </w:t>
            </w:r>
            <w:proofErr w:type="gramStart"/>
            <w:r w:rsidRPr="006701A3">
              <w:rPr>
                <w:color w:val="000000"/>
                <w:sz w:val="20"/>
                <w:szCs w:val="20"/>
              </w:rPr>
              <w:t xml:space="preserve">являться 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гипоаллергенным</w:t>
            </w:r>
            <w:proofErr w:type="spellEnd"/>
            <w:proofErr w:type="gramEnd"/>
            <w:r w:rsidRPr="006701A3">
              <w:rPr>
                <w:color w:val="000000"/>
                <w:sz w:val="20"/>
                <w:szCs w:val="20"/>
              </w:rPr>
              <w:t>. Представлен в виде салфеток, не менее 30 шт. в упаковке.</w:t>
            </w:r>
          </w:p>
        </w:tc>
        <w:tc>
          <w:tcPr>
            <w:tcW w:w="1134" w:type="dxa"/>
            <w:vAlign w:val="center"/>
          </w:tcPr>
          <w:p w:rsidR="006701A3" w:rsidRPr="006701A3" w:rsidRDefault="00CD6E47" w:rsidP="0065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6701A3" w:rsidRPr="004974FB" w:rsidTr="00980668">
        <w:trPr>
          <w:trHeight w:val="1550"/>
        </w:trPr>
        <w:tc>
          <w:tcPr>
            <w:tcW w:w="1271" w:type="dxa"/>
            <w:vAlign w:val="center"/>
          </w:tcPr>
          <w:p w:rsidR="006701A3" w:rsidRPr="006701A3" w:rsidRDefault="006701A3" w:rsidP="006701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 xml:space="preserve">Абсорбирующие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желирующие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пакетики для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стомных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мешков, 30 шт.</w:t>
            </w:r>
          </w:p>
        </w:tc>
        <w:tc>
          <w:tcPr>
            <w:tcW w:w="7938" w:type="dxa"/>
            <w:vAlign w:val="center"/>
          </w:tcPr>
          <w:p w:rsidR="006701A3" w:rsidRPr="006701A3" w:rsidRDefault="006701A3" w:rsidP="006701A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701A3">
              <w:rPr>
                <w:color w:val="000000"/>
                <w:sz w:val="20"/>
                <w:szCs w:val="20"/>
              </w:rPr>
              <w:t>Абсорбирущие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желирующие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пакетики для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стомных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 xml:space="preserve"> мешков должны представлять средство в виде специальных пакетиков – саше для размещения внутри сборного мешка калоприёмника, мочеприёмника. Средство должно преобразовывать содержимое сборного мешка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</w:t>
            </w:r>
          </w:p>
        </w:tc>
        <w:tc>
          <w:tcPr>
            <w:tcW w:w="1134" w:type="dxa"/>
            <w:vAlign w:val="center"/>
          </w:tcPr>
          <w:p w:rsidR="006701A3" w:rsidRPr="006701A3" w:rsidRDefault="00CD6E47" w:rsidP="0065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6701A3" w:rsidRPr="004974FB" w:rsidTr="00980668">
        <w:trPr>
          <w:trHeight w:val="1550"/>
        </w:trPr>
        <w:tc>
          <w:tcPr>
            <w:tcW w:w="1271" w:type="dxa"/>
            <w:vAlign w:val="center"/>
          </w:tcPr>
          <w:p w:rsidR="006701A3" w:rsidRPr="006701A3" w:rsidRDefault="006701A3" w:rsidP="006701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lastRenderedPageBreak/>
              <w:t xml:space="preserve">Защитные кольца для кожи вокруг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7938" w:type="dxa"/>
            <w:vAlign w:val="center"/>
          </w:tcPr>
          <w:p w:rsidR="006701A3" w:rsidRPr="006701A3" w:rsidRDefault="006701A3" w:rsidP="006701A3">
            <w:pPr>
              <w:jc w:val="both"/>
              <w:rPr>
                <w:color w:val="000000"/>
                <w:sz w:val="20"/>
                <w:szCs w:val="20"/>
              </w:rPr>
            </w:pPr>
            <w:r w:rsidRPr="006701A3">
              <w:rPr>
                <w:color w:val="000000"/>
                <w:sz w:val="20"/>
                <w:szCs w:val="20"/>
              </w:rPr>
              <w:t xml:space="preserve">Защитное кольцо должно иметь состав, обеспечивающий длительную защиту от протекания. Защитное кольцо должно быть прочное, легко моделироваться, плотно прилегать к 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стоме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>, позволять герметично приклеивать калоприемник (</w:t>
            </w:r>
            <w:proofErr w:type="spellStart"/>
            <w:r w:rsidRPr="006701A3">
              <w:rPr>
                <w:color w:val="000000"/>
                <w:sz w:val="20"/>
                <w:szCs w:val="20"/>
              </w:rPr>
              <w:t>уроприемник</w:t>
            </w:r>
            <w:proofErr w:type="spellEnd"/>
            <w:r w:rsidRPr="006701A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:rsidR="006701A3" w:rsidRPr="006701A3" w:rsidRDefault="00CD6E47" w:rsidP="0065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CD6E47" w:rsidRPr="004974FB" w:rsidTr="00980668">
        <w:trPr>
          <w:trHeight w:val="1550"/>
        </w:trPr>
        <w:tc>
          <w:tcPr>
            <w:tcW w:w="1271" w:type="dxa"/>
            <w:vAlign w:val="center"/>
          </w:tcPr>
          <w:p w:rsidR="00CD6E47" w:rsidRDefault="00CD6E47" w:rsidP="00CD6E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Адгезивная пласт</w:t>
            </w:r>
            <w:r w:rsidR="00BD1A3C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на-полукольцо для дополнительной фиксации пластин калоприемников и </w:t>
            </w:r>
            <w:proofErr w:type="spellStart"/>
            <w:r>
              <w:rPr>
                <w:color w:val="000000"/>
                <w:sz w:val="20"/>
                <w:szCs w:val="20"/>
              </w:rPr>
              <w:t>уроприемников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не менее 40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:rsidR="00CD6E47" w:rsidRPr="006701A3" w:rsidRDefault="00CD6E47" w:rsidP="006701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D6E47" w:rsidRPr="006701A3" w:rsidRDefault="00CD6E47" w:rsidP="006701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Адгезивная пластина-полукольцо для дополнительной фиксации пластин должна представлять </w:t>
            </w:r>
            <w:proofErr w:type="spellStart"/>
            <w:r>
              <w:rPr>
                <w:color w:val="000000"/>
                <w:sz w:val="20"/>
                <w:szCs w:val="20"/>
              </w:rPr>
              <w:t>гипоаллергенную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эластичную гидроколлоидную пластину-полукольцо для дополнительной фиксации калоприемника (уроприемника) абсорбировать влагу кожу, не содержать латекса.</w:t>
            </w:r>
          </w:p>
        </w:tc>
        <w:tc>
          <w:tcPr>
            <w:tcW w:w="1134" w:type="dxa"/>
            <w:vAlign w:val="center"/>
          </w:tcPr>
          <w:p w:rsidR="00CD6E47" w:rsidRDefault="00CD6E47" w:rsidP="0065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6701A3" w:rsidRPr="00301963" w:rsidTr="00980668">
        <w:trPr>
          <w:trHeight w:val="86"/>
        </w:trPr>
        <w:tc>
          <w:tcPr>
            <w:tcW w:w="9209" w:type="dxa"/>
            <w:gridSpan w:val="2"/>
            <w:vAlign w:val="center"/>
          </w:tcPr>
          <w:p w:rsidR="006701A3" w:rsidRPr="006701A3" w:rsidRDefault="006701A3" w:rsidP="006701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701A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701A3" w:rsidRPr="006701A3" w:rsidRDefault="00CD6E47" w:rsidP="006701A3">
            <w:pPr>
              <w:tabs>
                <w:tab w:val="left" w:pos="0"/>
              </w:tabs>
              <w:ind w:left="-46" w:firstLine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12720</w:t>
            </w:r>
          </w:p>
        </w:tc>
      </w:tr>
    </w:tbl>
    <w:p w:rsidR="00766291" w:rsidRDefault="00766291" w:rsidP="00F41C4A">
      <w:pPr>
        <w:ind w:firstLine="709"/>
        <w:jc w:val="both"/>
      </w:pPr>
    </w:p>
    <w:p w:rsidR="00004DE3" w:rsidRDefault="00004DE3" w:rsidP="00004DE3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Срок поставки товара</w:t>
      </w:r>
      <w:r w:rsidR="00FB48C9">
        <w:rPr>
          <w:sz w:val="22"/>
          <w:szCs w:val="22"/>
        </w:rPr>
        <w:t xml:space="preserve"> получателям</w:t>
      </w:r>
      <w:r>
        <w:rPr>
          <w:sz w:val="22"/>
          <w:szCs w:val="22"/>
        </w:rPr>
        <w:t xml:space="preserve">: с даты получения от заказчика реестра получателей товара до </w:t>
      </w:r>
      <w:r w:rsidR="00E445BD">
        <w:rPr>
          <w:sz w:val="22"/>
          <w:szCs w:val="22"/>
        </w:rPr>
        <w:t>31.</w:t>
      </w:r>
      <w:r w:rsidR="00BD1A3C">
        <w:rPr>
          <w:sz w:val="22"/>
          <w:szCs w:val="22"/>
        </w:rPr>
        <w:t>07</w:t>
      </w:r>
      <w:r>
        <w:rPr>
          <w:sz w:val="22"/>
          <w:szCs w:val="22"/>
        </w:rPr>
        <w:t>.202</w:t>
      </w:r>
      <w:r w:rsidR="002C7913">
        <w:rPr>
          <w:sz w:val="22"/>
          <w:szCs w:val="22"/>
        </w:rPr>
        <w:t>3</w:t>
      </w:r>
      <w:r>
        <w:rPr>
          <w:sz w:val="22"/>
          <w:szCs w:val="22"/>
        </w:rPr>
        <w:t xml:space="preserve"> года.</w:t>
      </w:r>
    </w:p>
    <w:p w:rsidR="00004DE3" w:rsidRDefault="00004DE3" w:rsidP="00004DE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E5FEC" w:rsidRPr="00EA7D8A" w:rsidRDefault="00AE5FEC" w:rsidP="00AE5FEC">
      <w:pPr>
        <w:pStyle w:val="a9"/>
        <w:ind w:firstLine="567"/>
        <w:jc w:val="both"/>
        <w:rPr>
          <w:b w:val="0"/>
          <w:sz w:val="22"/>
          <w:szCs w:val="22"/>
        </w:rPr>
      </w:pPr>
      <w:r w:rsidRPr="00EA7D8A">
        <w:rPr>
          <w:b w:val="0"/>
          <w:sz w:val="22"/>
          <w:szCs w:val="22"/>
        </w:rPr>
        <w:t xml:space="preserve">Поставщик обязан предоставить Получателям согласно реестру получателей Товара </w:t>
      </w:r>
      <w:r w:rsidRPr="00EA7D8A">
        <w:rPr>
          <w:b w:val="0"/>
          <w:sz w:val="22"/>
          <w:szCs w:val="22"/>
          <w:lang w:eastAsia="ar-SA"/>
        </w:rPr>
        <w:t>в пределах административных границ города федерального значения Севастополя,</w:t>
      </w:r>
      <w:r w:rsidRPr="00EA7D8A">
        <w:rPr>
          <w:b w:val="0"/>
          <w:sz w:val="22"/>
          <w:szCs w:val="22"/>
        </w:rPr>
        <w:t xml:space="preserve"> право выбора одного из способов получения Товара:</w:t>
      </w:r>
    </w:p>
    <w:p w:rsidR="00AE5FEC" w:rsidRPr="00EA7D8A" w:rsidRDefault="00AE5FEC" w:rsidP="00AE5FEC">
      <w:pPr>
        <w:ind w:firstLine="708"/>
        <w:jc w:val="both"/>
        <w:rPr>
          <w:sz w:val="22"/>
          <w:szCs w:val="22"/>
        </w:rPr>
      </w:pPr>
      <w:r w:rsidRPr="00EA7D8A">
        <w:rPr>
          <w:sz w:val="22"/>
          <w:szCs w:val="22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AE5FEC" w:rsidRPr="00EA7D8A" w:rsidRDefault="00AE5FEC" w:rsidP="00AE5FEC">
      <w:pPr>
        <w:ind w:firstLine="708"/>
        <w:jc w:val="both"/>
        <w:rPr>
          <w:sz w:val="22"/>
          <w:szCs w:val="22"/>
        </w:rPr>
      </w:pPr>
      <w:r w:rsidRPr="00EA7D8A">
        <w:rPr>
          <w:sz w:val="22"/>
          <w:szCs w:val="22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AE5FEC" w:rsidRPr="00EA7D8A" w:rsidRDefault="00AE5FEC" w:rsidP="00AE5FEC">
      <w:pPr>
        <w:ind w:firstLine="708"/>
        <w:jc w:val="both"/>
        <w:rPr>
          <w:sz w:val="22"/>
          <w:szCs w:val="22"/>
        </w:rPr>
      </w:pPr>
      <w:r w:rsidRPr="00EA7D8A">
        <w:rPr>
          <w:sz w:val="22"/>
          <w:szCs w:val="22"/>
        </w:rPr>
        <w:t>Пункты выдачи Товара и склад Поставщика должны быть оснащены видеокамерами.</w:t>
      </w:r>
    </w:p>
    <w:p w:rsidR="00F41C4A" w:rsidRPr="00EA7D8A" w:rsidRDefault="00F41C4A" w:rsidP="00004DE3">
      <w:pPr>
        <w:ind w:firstLine="709"/>
        <w:jc w:val="both"/>
      </w:pPr>
    </w:p>
    <w:sectPr w:rsidR="00F41C4A" w:rsidRPr="00EA7D8A" w:rsidSect="00A2270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1B"/>
    <w:rsid w:val="00003303"/>
    <w:rsid w:val="00004DE3"/>
    <w:rsid w:val="00027F86"/>
    <w:rsid w:val="000B763E"/>
    <w:rsid w:val="000F5AF8"/>
    <w:rsid w:val="00106D83"/>
    <w:rsid w:val="0011502F"/>
    <w:rsid w:val="001434C1"/>
    <w:rsid w:val="00143B44"/>
    <w:rsid w:val="00154E04"/>
    <w:rsid w:val="00164621"/>
    <w:rsid w:val="001B1713"/>
    <w:rsid w:val="001D6AFF"/>
    <w:rsid w:val="00210254"/>
    <w:rsid w:val="002163DB"/>
    <w:rsid w:val="00222727"/>
    <w:rsid w:val="00273CAC"/>
    <w:rsid w:val="0028448E"/>
    <w:rsid w:val="002A02CE"/>
    <w:rsid w:val="002A09C0"/>
    <w:rsid w:val="002C7913"/>
    <w:rsid w:val="002F138A"/>
    <w:rsid w:val="002F2C0A"/>
    <w:rsid w:val="00301490"/>
    <w:rsid w:val="00317824"/>
    <w:rsid w:val="0037245E"/>
    <w:rsid w:val="004000A0"/>
    <w:rsid w:val="00422EE5"/>
    <w:rsid w:val="0042423E"/>
    <w:rsid w:val="00441F2A"/>
    <w:rsid w:val="0044724D"/>
    <w:rsid w:val="00451A39"/>
    <w:rsid w:val="004713EF"/>
    <w:rsid w:val="004B673B"/>
    <w:rsid w:val="004C353E"/>
    <w:rsid w:val="004E73BF"/>
    <w:rsid w:val="004F62C0"/>
    <w:rsid w:val="00564A1C"/>
    <w:rsid w:val="005D1941"/>
    <w:rsid w:val="005E28EC"/>
    <w:rsid w:val="005E5354"/>
    <w:rsid w:val="006009C4"/>
    <w:rsid w:val="0061137A"/>
    <w:rsid w:val="00631E4C"/>
    <w:rsid w:val="00633BE3"/>
    <w:rsid w:val="00655324"/>
    <w:rsid w:val="006701A3"/>
    <w:rsid w:val="006861E0"/>
    <w:rsid w:val="006A3062"/>
    <w:rsid w:val="006B163B"/>
    <w:rsid w:val="006D6EF8"/>
    <w:rsid w:val="00701C48"/>
    <w:rsid w:val="00723D59"/>
    <w:rsid w:val="00751B50"/>
    <w:rsid w:val="00766291"/>
    <w:rsid w:val="00766A10"/>
    <w:rsid w:val="00793AE6"/>
    <w:rsid w:val="007B4820"/>
    <w:rsid w:val="007D6CA8"/>
    <w:rsid w:val="007F7424"/>
    <w:rsid w:val="00801039"/>
    <w:rsid w:val="008152C6"/>
    <w:rsid w:val="00850474"/>
    <w:rsid w:val="00885D4B"/>
    <w:rsid w:val="00911105"/>
    <w:rsid w:val="009139E5"/>
    <w:rsid w:val="00931488"/>
    <w:rsid w:val="00970491"/>
    <w:rsid w:val="00970E52"/>
    <w:rsid w:val="0097772F"/>
    <w:rsid w:val="00980668"/>
    <w:rsid w:val="0098671C"/>
    <w:rsid w:val="009C5C72"/>
    <w:rsid w:val="009C5DF2"/>
    <w:rsid w:val="00A07D49"/>
    <w:rsid w:val="00A21DEF"/>
    <w:rsid w:val="00A22703"/>
    <w:rsid w:val="00A7328D"/>
    <w:rsid w:val="00A9613D"/>
    <w:rsid w:val="00AC6F8F"/>
    <w:rsid w:val="00AD0224"/>
    <w:rsid w:val="00AE5D2E"/>
    <w:rsid w:val="00AE5FEC"/>
    <w:rsid w:val="00AF4081"/>
    <w:rsid w:val="00B01F6B"/>
    <w:rsid w:val="00B373A1"/>
    <w:rsid w:val="00B90F66"/>
    <w:rsid w:val="00BB46BA"/>
    <w:rsid w:val="00BC02AA"/>
    <w:rsid w:val="00BD1A3C"/>
    <w:rsid w:val="00BE24B0"/>
    <w:rsid w:val="00C14174"/>
    <w:rsid w:val="00CB74B6"/>
    <w:rsid w:val="00CC0A71"/>
    <w:rsid w:val="00CC492C"/>
    <w:rsid w:val="00CD34A1"/>
    <w:rsid w:val="00CD5653"/>
    <w:rsid w:val="00CD69F0"/>
    <w:rsid w:val="00CD6E47"/>
    <w:rsid w:val="00D05B96"/>
    <w:rsid w:val="00D06D53"/>
    <w:rsid w:val="00D07FB0"/>
    <w:rsid w:val="00D32C84"/>
    <w:rsid w:val="00D342F4"/>
    <w:rsid w:val="00D92C0E"/>
    <w:rsid w:val="00DC6F47"/>
    <w:rsid w:val="00E10496"/>
    <w:rsid w:val="00E261DA"/>
    <w:rsid w:val="00E445BD"/>
    <w:rsid w:val="00E7458A"/>
    <w:rsid w:val="00E80CE6"/>
    <w:rsid w:val="00E9490A"/>
    <w:rsid w:val="00EA3E70"/>
    <w:rsid w:val="00EA42D1"/>
    <w:rsid w:val="00EA7D8A"/>
    <w:rsid w:val="00ED32CB"/>
    <w:rsid w:val="00F2360D"/>
    <w:rsid w:val="00F33E91"/>
    <w:rsid w:val="00F41C4A"/>
    <w:rsid w:val="00F564C3"/>
    <w:rsid w:val="00F9757A"/>
    <w:rsid w:val="00FB48C9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5D8E-8953-4122-9939-048D0362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CD565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85D4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4">
    <w:name w:val="Заголовок"/>
    <w:basedOn w:val="a"/>
    <w:next w:val="a5"/>
    <w:rsid w:val="00E1049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104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0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441F2A"/>
    <w:pPr>
      <w:ind w:left="720"/>
      <w:contextualSpacing/>
    </w:pPr>
  </w:style>
  <w:style w:type="paragraph" w:styleId="a9">
    <w:name w:val="Title"/>
    <w:basedOn w:val="a"/>
    <w:link w:val="aa"/>
    <w:qFormat/>
    <w:rsid w:val="00004DE3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a">
    <w:name w:val="Название Знак"/>
    <w:basedOn w:val="a0"/>
    <w:link w:val="a9"/>
    <w:rsid w:val="00004D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FB48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0D9C-D065-4B44-9779-EE283B42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Теняков Максим Николаевич</cp:lastModifiedBy>
  <cp:revision>5</cp:revision>
  <dcterms:created xsi:type="dcterms:W3CDTF">2023-01-14T09:49:00Z</dcterms:created>
  <dcterms:modified xsi:type="dcterms:W3CDTF">2023-01-23T12:59:00Z</dcterms:modified>
</cp:coreProperties>
</file>