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156" w:rsidRPr="009457C5" w:rsidRDefault="00A33156" w:rsidP="00A33156">
      <w:pPr>
        <w:ind w:left="7655" w:right="423"/>
        <w:jc w:val="center"/>
        <w:rPr>
          <w:b/>
          <w:sz w:val="22"/>
          <w:szCs w:val="22"/>
        </w:rPr>
      </w:pPr>
      <w:r w:rsidRPr="009457C5">
        <w:rPr>
          <w:b/>
          <w:sz w:val="22"/>
          <w:szCs w:val="22"/>
        </w:rPr>
        <w:t>Приложение № 1</w:t>
      </w:r>
    </w:p>
    <w:p w:rsidR="009457C5" w:rsidRDefault="00A33156" w:rsidP="009457C5">
      <w:pPr>
        <w:ind w:left="7655"/>
        <w:jc w:val="center"/>
        <w:rPr>
          <w:b/>
          <w:sz w:val="22"/>
          <w:szCs w:val="22"/>
        </w:rPr>
      </w:pPr>
      <w:r w:rsidRPr="009457C5">
        <w:rPr>
          <w:b/>
          <w:sz w:val="22"/>
          <w:szCs w:val="22"/>
        </w:rPr>
        <w:t>к извещению о проведении открытого конкурса в электронной форме</w:t>
      </w:r>
    </w:p>
    <w:p w:rsidR="009457C5" w:rsidRDefault="009457C5" w:rsidP="009457C5">
      <w:pPr>
        <w:ind w:left="7655"/>
        <w:jc w:val="center"/>
        <w:rPr>
          <w:b/>
          <w:sz w:val="22"/>
          <w:szCs w:val="22"/>
        </w:rPr>
      </w:pPr>
    </w:p>
    <w:p w:rsidR="009457C5" w:rsidRDefault="009457C5" w:rsidP="009457C5">
      <w:pPr>
        <w:jc w:val="both"/>
        <w:rPr>
          <w:sz w:val="22"/>
          <w:szCs w:val="22"/>
        </w:rPr>
      </w:pPr>
      <w:r w:rsidRPr="009457C5">
        <w:rPr>
          <w:bCs/>
          <w:sz w:val="22"/>
          <w:szCs w:val="22"/>
        </w:rPr>
        <w:t>Выполнение в 2022 году работ</w:t>
      </w:r>
      <w:r w:rsidRPr="009457C5">
        <w:rPr>
          <w:sz w:val="22"/>
          <w:szCs w:val="22"/>
        </w:rPr>
        <w:t xml:space="preserve"> по изготовлению </w:t>
      </w:r>
      <w:r w:rsidRPr="009457C5">
        <w:rPr>
          <w:b/>
          <w:bCs/>
          <w:sz w:val="22"/>
          <w:szCs w:val="22"/>
        </w:rPr>
        <w:t xml:space="preserve">протезов нижних конечностей (в индивидуальной комплектации) </w:t>
      </w:r>
      <w:r w:rsidRPr="009457C5">
        <w:rPr>
          <w:sz w:val="22"/>
          <w:szCs w:val="22"/>
        </w:rPr>
        <w:t>для застрахованных лиц, получивших повреждение здоровья в результате несчастных случаев на производстве, проживающих на территории Пермского края.</w:t>
      </w:r>
    </w:p>
    <w:p w:rsidR="009457C5" w:rsidRPr="009457C5" w:rsidRDefault="009457C5" w:rsidP="009457C5">
      <w:pPr>
        <w:jc w:val="both"/>
        <w:rPr>
          <w:b/>
          <w:spacing w:val="1"/>
          <w:sz w:val="22"/>
          <w:szCs w:val="22"/>
        </w:rPr>
      </w:pPr>
      <w:r w:rsidRPr="009457C5">
        <w:rPr>
          <w:b/>
          <w:spacing w:val="1"/>
          <w:sz w:val="22"/>
          <w:szCs w:val="22"/>
        </w:rPr>
        <w:t>Количество - 3 штуки.</w:t>
      </w:r>
    </w:p>
    <w:tbl>
      <w:tblPr>
        <w:tblW w:w="14884" w:type="dxa"/>
        <w:tblInd w:w="108" w:type="dxa"/>
        <w:tblLayout w:type="fixed"/>
        <w:tblLook w:val="0000" w:firstRow="0" w:lastRow="0" w:firstColumn="0" w:lastColumn="0" w:noHBand="0" w:noVBand="0"/>
      </w:tblPr>
      <w:tblGrid>
        <w:gridCol w:w="540"/>
        <w:gridCol w:w="11880"/>
        <w:gridCol w:w="2464"/>
      </w:tblGrid>
      <w:tr w:rsidR="009457C5" w:rsidRPr="009457C5" w:rsidTr="009457C5">
        <w:trPr>
          <w:trHeight w:val="540"/>
        </w:trPr>
        <w:tc>
          <w:tcPr>
            <w:tcW w:w="540" w:type="dxa"/>
            <w:tcBorders>
              <w:top w:val="single" w:sz="4" w:space="0" w:color="auto"/>
              <w:left w:val="single" w:sz="4" w:space="0" w:color="auto"/>
              <w:bottom w:val="single" w:sz="4" w:space="0" w:color="auto"/>
              <w:right w:val="single" w:sz="4" w:space="0" w:color="auto"/>
            </w:tcBorders>
          </w:tcPr>
          <w:p w:rsidR="009457C5" w:rsidRPr="009457C5" w:rsidRDefault="009457C5" w:rsidP="00462239">
            <w:pPr>
              <w:keepNext/>
              <w:keepLines/>
              <w:snapToGrid w:val="0"/>
              <w:jc w:val="center"/>
              <w:rPr>
                <w:sz w:val="22"/>
                <w:szCs w:val="22"/>
              </w:rPr>
            </w:pPr>
            <w:r w:rsidRPr="009457C5">
              <w:rPr>
                <w:sz w:val="22"/>
                <w:szCs w:val="22"/>
              </w:rPr>
              <w:lastRenderedPageBreak/>
              <w:t>№ п/п</w:t>
            </w:r>
          </w:p>
        </w:tc>
        <w:tc>
          <w:tcPr>
            <w:tcW w:w="11880" w:type="dxa"/>
            <w:tcBorders>
              <w:top w:val="single" w:sz="4" w:space="0" w:color="auto"/>
              <w:left w:val="single" w:sz="4" w:space="0" w:color="auto"/>
              <w:bottom w:val="single" w:sz="4" w:space="0" w:color="auto"/>
              <w:right w:val="single" w:sz="4" w:space="0" w:color="auto"/>
            </w:tcBorders>
          </w:tcPr>
          <w:p w:rsidR="009457C5" w:rsidRPr="009457C5" w:rsidRDefault="009457C5" w:rsidP="00462239">
            <w:pPr>
              <w:keepNext/>
              <w:keepLines/>
              <w:tabs>
                <w:tab w:val="left" w:pos="3960"/>
              </w:tabs>
              <w:snapToGrid w:val="0"/>
              <w:jc w:val="center"/>
              <w:rPr>
                <w:b/>
                <w:bCs/>
                <w:sz w:val="22"/>
                <w:szCs w:val="22"/>
              </w:rPr>
            </w:pPr>
            <w:r w:rsidRPr="009457C5">
              <w:rPr>
                <w:b/>
                <w:bCs/>
                <w:sz w:val="22"/>
                <w:szCs w:val="22"/>
              </w:rPr>
              <w:t>Наименование ПОИ</w:t>
            </w:r>
          </w:p>
          <w:p w:rsidR="009457C5" w:rsidRPr="009457C5" w:rsidRDefault="009457C5" w:rsidP="00462239">
            <w:pPr>
              <w:keepNext/>
              <w:keepLines/>
              <w:snapToGrid w:val="0"/>
              <w:jc w:val="center"/>
              <w:rPr>
                <w:sz w:val="22"/>
                <w:szCs w:val="22"/>
              </w:rPr>
            </w:pPr>
            <w:r w:rsidRPr="009457C5">
              <w:rPr>
                <w:b/>
                <w:sz w:val="22"/>
                <w:szCs w:val="22"/>
              </w:rPr>
              <w:t>Описание, требования к выполнению работ, их качеству, безопасности, результатам, месту, сроку выполнения работ, сроку предоставления гарантии качества</w:t>
            </w:r>
          </w:p>
        </w:tc>
        <w:tc>
          <w:tcPr>
            <w:tcW w:w="2464" w:type="dxa"/>
            <w:tcBorders>
              <w:top w:val="single" w:sz="4" w:space="0" w:color="auto"/>
              <w:left w:val="single" w:sz="4" w:space="0" w:color="auto"/>
              <w:bottom w:val="single" w:sz="4" w:space="0" w:color="auto"/>
              <w:right w:val="single" w:sz="4" w:space="0" w:color="auto"/>
            </w:tcBorders>
          </w:tcPr>
          <w:p w:rsidR="009457C5" w:rsidRPr="009457C5" w:rsidRDefault="009457C5" w:rsidP="00462239">
            <w:pPr>
              <w:keepNext/>
              <w:keepLines/>
              <w:snapToGrid w:val="0"/>
              <w:jc w:val="center"/>
              <w:rPr>
                <w:sz w:val="22"/>
                <w:szCs w:val="22"/>
              </w:rPr>
            </w:pPr>
            <w:r w:rsidRPr="009457C5">
              <w:rPr>
                <w:sz w:val="22"/>
                <w:szCs w:val="22"/>
              </w:rPr>
              <w:t xml:space="preserve">Объем работ (количество </w:t>
            </w:r>
            <w:r w:rsidRPr="009457C5">
              <w:rPr>
                <w:spacing w:val="-4"/>
                <w:sz w:val="22"/>
                <w:szCs w:val="22"/>
              </w:rPr>
              <w:t>протезно-ортопедических изделий</w:t>
            </w:r>
            <w:r w:rsidRPr="009457C5">
              <w:rPr>
                <w:sz w:val="22"/>
                <w:szCs w:val="22"/>
              </w:rPr>
              <w:t>, шт.)</w:t>
            </w:r>
          </w:p>
        </w:tc>
      </w:tr>
      <w:tr w:rsidR="009457C5" w:rsidRPr="009457C5" w:rsidTr="009457C5">
        <w:trPr>
          <w:trHeight w:val="540"/>
        </w:trPr>
        <w:tc>
          <w:tcPr>
            <w:tcW w:w="540" w:type="dxa"/>
            <w:tcBorders>
              <w:top w:val="single" w:sz="4" w:space="0" w:color="auto"/>
              <w:left w:val="single" w:sz="4" w:space="0" w:color="auto"/>
              <w:bottom w:val="single" w:sz="4" w:space="0" w:color="auto"/>
              <w:right w:val="single" w:sz="4" w:space="0" w:color="auto"/>
            </w:tcBorders>
          </w:tcPr>
          <w:p w:rsidR="009457C5" w:rsidRPr="009457C5" w:rsidRDefault="009457C5" w:rsidP="00462239">
            <w:pPr>
              <w:keepNext/>
              <w:keepLines/>
              <w:snapToGrid w:val="0"/>
              <w:jc w:val="center"/>
              <w:rPr>
                <w:sz w:val="22"/>
                <w:szCs w:val="22"/>
              </w:rPr>
            </w:pPr>
            <w:r w:rsidRPr="009457C5">
              <w:rPr>
                <w:sz w:val="22"/>
                <w:szCs w:val="22"/>
              </w:rPr>
              <w:t>1</w:t>
            </w:r>
          </w:p>
        </w:tc>
        <w:tc>
          <w:tcPr>
            <w:tcW w:w="11880" w:type="dxa"/>
            <w:tcBorders>
              <w:top w:val="single" w:sz="4" w:space="0" w:color="auto"/>
              <w:left w:val="single" w:sz="4" w:space="0" w:color="auto"/>
              <w:bottom w:val="single" w:sz="4" w:space="0" w:color="auto"/>
              <w:right w:val="single" w:sz="4" w:space="0" w:color="auto"/>
            </w:tcBorders>
          </w:tcPr>
          <w:p w:rsidR="009457C5" w:rsidRPr="009457C5" w:rsidRDefault="009457C5" w:rsidP="00462239">
            <w:pPr>
              <w:pStyle w:val="af2"/>
              <w:keepNext/>
              <w:keepLines/>
              <w:jc w:val="both"/>
              <w:rPr>
                <w:b/>
                <w:sz w:val="22"/>
                <w:szCs w:val="22"/>
              </w:rPr>
            </w:pPr>
            <w:r w:rsidRPr="009457C5">
              <w:rPr>
                <w:b/>
                <w:sz w:val="22"/>
                <w:szCs w:val="22"/>
              </w:rPr>
              <w:t>Протез бедра модульный, в том числе при врожденном недоразвитии.</w:t>
            </w:r>
          </w:p>
          <w:p w:rsidR="009457C5" w:rsidRPr="009457C5" w:rsidRDefault="009457C5" w:rsidP="00462239">
            <w:pPr>
              <w:pStyle w:val="af2"/>
              <w:keepNext/>
              <w:keepLines/>
              <w:jc w:val="both"/>
              <w:rPr>
                <w:b/>
                <w:sz w:val="22"/>
                <w:szCs w:val="22"/>
              </w:rPr>
            </w:pPr>
            <w:r w:rsidRPr="009457C5">
              <w:rPr>
                <w:sz w:val="22"/>
                <w:szCs w:val="22"/>
              </w:rPr>
              <w:t xml:space="preserve">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9457C5">
              <w:rPr>
                <w:sz w:val="22"/>
                <w:szCs w:val="22"/>
              </w:rPr>
              <w:t>перлоновые</w:t>
            </w:r>
            <w:proofErr w:type="spellEnd"/>
            <w:r w:rsidRPr="009457C5">
              <w:rPr>
                <w:sz w:val="22"/>
                <w:szCs w:val="22"/>
              </w:rPr>
              <w:t xml:space="preserve">. Приемная гильза индивидуальная, изготовленная по индивидуальному слепку с культи инвалида. Количество примерочных (пробных) гильз – одна. Постоянная гильза из литьевого слоистого пластика на основе </w:t>
            </w:r>
            <w:proofErr w:type="spellStart"/>
            <w:r w:rsidRPr="009457C5">
              <w:rPr>
                <w:sz w:val="22"/>
                <w:szCs w:val="22"/>
              </w:rPr>
              <w:t>ортокриловых</w:t>
            </w:r>
            <w:proofErr w:type="spellEnd"/>
            <w:r w:rsidRPr="009457C5">
              <w:rPr>
                <w:sz w:val="22"/>
                <w:szCs w:val="22"/>
              </w:rPr>
              <w:t xml:space="preserve"> смол. Вкладная гильза из эластичных термопластов (для </w:t>
            </w:r>
            <w:proofErr w:type="spellStart"/>
            <w:r w:rsidRPr="009457C5">
              <w:rPr>
                <w:sz w:val="22"/>
                <w:szCs w:val="22"/>
              </w:rPr>
              <w:t>скелетированной</w:t>
            </w:r>
            <w:proofErr w:type="spellEnd"/>
            <w:r w:rsidRPr="009457C5">
              <w:rPr>
                <w:sz w:val="22"/>
                <w:szCs w:val="22"/>
              </w:rPr>
              <w:t xml:space="preserve"> гильзы). Без чехла полимерного. Крепление протеза с использованием бандажа. Регулировочно-соединительные устройства соответствуют весу инвалида. Коленный шарнир моноцентрический с </w:t>
            </w:r>
            <w:proofErr w:type="spellStart"/>
            <w:r w:rsidRPr="009457C5">
              <w:rPr>
                <w:sz w:val="22"/>
                <w:szCs w:val="22"/>
              </w:rPr>
              <w:t>голенооткидным</w:t>
            </w:r>
            <w:proofErr w:type="spellEnd"/>
            <w:r w:rsidRPr="009457C5">
              <w:rPr>
                <w:sz w:val="22"/>
                <w:szCs w:val="22"/>
              </w:rPr>
              <w:t xml:space="preserve"> устройством и фиксацией сгибания под нагрузкой. Стопа с регулируемым переключением высоты каблука от 0 до 7 см. Поворотное устройство не применяется. Тип протеза по назначению – постоянный.</w:t>
            </w:r>
          </w:p>
        </w:tc>
        <w:tc>
          <w:tcPr>
            <w:tcW w:w="2464" w:type="dxa"/>
            <w:tcBorders>
              <w:top w:val="single" w:sz="4" w:space="0" w:color="auto"/>
              <w:left w:val="single" w:sz="4" w:space="0" w:color="auto"/>
              <w:bottom w:val="single" w:sz="4" w:space="0" w:color="auto"/>
              <w:right w:val="single" w:sz="4" w:space="0" w:color="auto"/>
            </w:tcBorders>
          </w:tcPr>
          <w:p w:rsidR="009457C5" w:rsidRPr="009457C5" w:rsidRDefault="009457C5" w:rsidP="00462239">
            <w:pPr>
              <w:keepNext/>
              <w:keepLines/>
              <w:snapToGrid w:val="0"/>
              <w:jc w:val="center"/>
              <w:rPr>
                <w:sz w:val="22"/>
                <w:szCs w:val="22"/>
              </w:rPr>
            </w:pPr>
            <w:r w:rsidRPr="009457C5">
              <w:rPr>
                <w:sz w:val="22"/>
                <w:szCs w:val="22"/>
              </w:rPr>
              <w:t>1</w:t>
            </w:r>
          </w:p>
        </w:tc>
      </w:tr>
      <w:tr w:rsidR="009457C5" w:rsidRPr="009457C5" w:rsidTr="009457C5">
        <w:trPr>
          <w:trHeight w:val="540"/>
        </w:trPr>
        <w:tc>
          <w:tcPr>
            <w:tcW w:w="540" w:type="dxa"/>
            <w:tcBorders>
              <w:top w:val="single" w:sz="4" w:space="0" w:color="auto"/>
              <w:left w:val="single" w:sz="4" w:space="0" w:color="auto"/>
              <w:bottom w:val="single" w:sz="4" w:space="0" w:color="auto"/>
              <w:right w:val="single" w:sz="4" w:space="0" w:color="auto"/>
            </w:tcBorders>
          </w:tcPr>
          <w:p w:rsidR="009457C5" w:rsidRPr="009457C5" w:rsidRDefault="009457C5" w:rsidP="00462239">
            <w:pPr>
              <w:keepNext/>
              <w:keepLines/>
              <w:snapToGrid w:val="0"/>
              <w:jc w:val="center"/>
              <w:rPr>
                <w:sz w:val="22"/>
                <w:szCs w:val="22"/>
              </w:rPr>
            </w:pPr>
            <w:r w:rsidRPr="009457C5">
              <w:rPr>
                <w:sz w:val="22"/>
                <w:szCs w:val="22"/>
              </w:rPr>
              <w:t>2</w:t>
            </w:r>
          </w:p>
        </w:tc>
        <w:tc>
          <w:tcPr>
            <w:tcW w:w="11880" w:type="dxa"/>
            <w:tcBorders>
              <w:top w:val="single" w:sz="4" w:space="0" w:color="auto"/>
              <w:left w:val="single" w:sz="4" w:space="0" w:color="auto"/>
              <w:bottom w:val="single" w:sz="4" w:space="0" w:color="auto"/>
              <w:right w:val="single" w:sz="4" w:space="0" w:color="auto"/>
            </w:tcBorders>
          </w:tcPr>
          <w:p w:rsidR="009457C5" w:rsidRPr="009457C5" w:rsidRDefault="009457C5" w:rsidP="00462239">
            <w:pPr>
              <w:keepNext/>
              <w:keepLines/>
              <w:jc w:val="both"/>
              <w:rPr>
                <w:sz w:val="22"/>
                <w:szCs w:val="22"/>
              </w:rPr>
            </w:pPr>
            <w:r w:rsidRPr="009457C5">
              <w:rPr>
                <w:b/>
                <w:sz w:val="22"/>
                <w:szCs w:val="22"/>
              </w:rPr>
              <w:t>Протез голени модульный, в том числе при недоразвитии.</w:t>
            </w:r>
            <w:r w:rsidRPr="009457C5">
              <w:rPr>
                <w:sz w:val="22"/>
                <w:szCs w:val="22"/>
              </w:rPr>
              <w:t xml:space="preserve"> </w:t>
            </w:r>
          </w:p>
          <w:p w:rsidR="009457C5" w:rsidRPr="009457C5" w:rsidRDefault="009457C5" w:rsidP="00462239">
            <w:pPr>
              <w:keepNext/>
              <w:keepLines/>
              <w:jc w:val="both"/>
              <w:rPr>
                <w:sz w:val="22"/>
                <w:szCs w:val="22"/>
              </w:rPr>
            </w:pPr>
            <w:r w:rsidRPr="009457C5">
              <w:rPr>
                <w:sz w:val="22"/>
                <w:szCs w:val="22"/>
              </w:rPr>
              <w:t xml:space="preserve">Косметическая облицовка – модульная мягкая полиуретановая. Косметическое покрытие облицовки – чулки ортопедические </w:t>
            </w:r>
            <w:proofErr w:type="spellStart"/>
            <w:r w:rsidRPr="009457C5">
              <w:rPr>
                <w:sz w:val="22"/>
                <w:szCs w:val="22"/>
              </w:rPr>
              <w:t>перлоновые</w:t>
            </w:r>
            <w:proofErr w:type="spellEnd"/>
            <w:r w:rsidRPr="009457C5">
              <w:rPr>
                <w:sz w:val="22"/>
                <w:szCs w:val="22"/>
              </w:rPr>
              <w:t xml:space="preserve">. Приемная гильза индивидуальная изготовленная по индивидуальному слепку с культи инвалида. Количество приемных (пробных) гильз – 1. Постоянная гильза из литьевого слоистого пластика на основе </w:t>
            </w:r>
            <w:proofErr w:type="spellStart"/>
            <w:r w:rsidRPr="009457C5">
              <w:rPr>
                <w:sz w:val="22"/>
                <w:szCs w:val="22"/>
              </w:rPr>
              <w:t>ортокриловых</w:t>
            </w:r>
            <w:proofErr w:type="spellEnd"/>
            <w:r w:rsidRPr="009457C5">
              <w:rPr>
                <w:sz w:val="22"/>
                <w:szCs w:val="22"/>
              </w:rPr>
              <w:t xml:space="preserve"> смол. В качестве вкладного элемента применяется чехол полимерный. Крепление протеза с использование системы с высокой степенью вакуумного разряжения, дополнительное крепление протеза с использованием вакуумного герметизирующего коленного бандажа. Регулировочно-соединительные устройства на нагрузку до 100 кг. Стопа с высокой степенью энергосбережения. Тип протеза по назначению – постоянный.</w:t>
            </w:r>
          </w:p>
        </w:tc>
        <w:tc>
          <w:tcPr>
            <w:tcW w:w="2464" w:type="dxa"/>
            <w:tcBorders>
              <w:top w:val="single" w:sz="4" w:space="0" w:color="auto"/>
              <w:left w:val="single" w:sz="4" w:space="0" w:color="auto"/>
              <w:bottom w:val="single" w:sz="4" w:space="0" w:color="auto"/>
              <w:right w:val="single" w:sz="4" w:space="0" w:color="auto"/>
            </w:tcBorders>
          </w:tcPr>
          <w:p w:rsidR="009457C5" w:rsidRPr="009457C5" w:rsidRDefault="009457C5" w:rsidP="00462239">
            <w:pPr>
              <w:keepNext/>
              <w:keepLines/>
              <w:snapToGrid w:val="0"/>
              <w:jc w:val="center"/>
              <w:rPr>
                <w:sz w:val="22"/>
                <w:szCs w:val="22"/>
              </w:rPr>
            </w:pPr>
            <w:r w:rsidRPr="009457C5">
              <w:rPr>
                <w:sz w:val="22"/>
                <w:szCs w:val="22"/>
              </w:rPr>
              <w:t>1</w:t>
            </w:r>
          </w:p>
        </w:tc>
      </w:tr>
      <w:tr w:rsidR="009457C5" w:rsidRPr="009457C5" w:rsidTr="009457C5">
        <w:trPr>
          <w:trHeight w:val="540"/>
        </w:trPr>
        <w:tc>
          <w:tcPr>
            <w:tcW w:w="540" w:type="dxa"/>
            <w:tcBorders>
              <w:top w:val="single" w:sz="4" w:space="0" w:color="auto"/>
              <w:left w:val="single" w:sz="4" w:space="0" w:color="auto"/>
              <w:bottom w:val="single" w:sz="4" w:space="0" w:color="auto"/>
              <w:right w:val="single" w:sz="4" w:space="0" w:color="auto"/>
            </w:tcBorders>
          </w:tcPr>
          <w:p w:rsidR="009457C5" w:rsidRPr="009457C5" w:rsidRDefault="009457C5" w:rsidP="00462239">
            <w:pPr>
              <w:keepNext/>
              <w:keepLines/>
              <w:snapToGrid w:val="0"/>
              <w:jc w:val="center"/>
              <w:rPr>
                <w:sz w:val="22"/>
                <w:szCs w:val="22"/>
              </w:rPr>
            </w:pPr>
            <w:r w:rsidRPr="009457C5">
              <w:rPr>
                <w:sz w:val="22"/>
                <w:szCs w:val="22"/>
              </w:rPr>
              <w:t>3</w:t>
            </w:r>
          </w:p>
        </w:tc>
        <w:tc>
          <w:tcPr>
            <w:tcW w:w="11880" w:type="dxa"/>
            <w:tcBorders>
              <w:top w:val="single" w:sz="4" w:space="0" w:color="auto"/>
              <w:left w:val="single" w:sz="4" w:space="0" w:color="auto"/>
              <w:bottom w:val="single" w:sz="4" w:space="0" w:color="auto"/>
              <w:right w:val="single" w:sz="4" w:space="0" w:color="auto"/>
            </w:tcBorders>
          </w:tcPr>
          <w:p w:rsidR="009457C5" w:rsidRPr="009457C5" w:rsidRDefault="009457C5" w:rsidP="00462239">
            <w:pPr>
              <w:keepNext/>
              <w:keepLines/>
              <w:jc w:val="both"/>
              <w:rPr>
                <w:b/>
                <w:sz w:val="22"/>
                <w:szCs w:val="22"/>
              </w:rPr>
            </w:pPr>
            <w:r w:rsidRPr="009457C5">
              <w:rPr>
                <w:b/>
                <w:sz w:val="22"/>
                <w:szCs w:val="22"/>
              </w:rPr>
              <w:t>Протез голени модульный, в том числе при недоразвитии.</w:t>
            </w:r>
          </w:p>
          <w:p w:rsidR="009457C5" w:rsidRPr="009457C5" w:rsidRDefault="009457C5" w:rsidP="00462239">
            <w:pPr>
              <w:keepNext/>
              <w:keepLines/>
              <w:jc w:val="both"/>
              <w:rPr>
                <w:b/>
                <w:sz w:val="22"/>
                <w:szCs w:val="22"/>
              </w:rPr>
            </w:pPr>
            <w:bookmarkStart w:id="0" w:name="_Hlk76731245"/>
            <w:r w:rsidRPr="009457C5">
              <w:rPr>
                <w:sz w:val="22"/>
                <w:szCs w:val="22"/>
              </w:rPr>
              <w:t>Протез голени модульный с полимерным чехлом</w:t>
            </w:r>
            <w:bookmarkEnd w:id="0"/>
            <w:r w:rsidRPr="009457C5">
              <w:rPr>
                <w:sz w:val="22"/>
                <w:szCs w:val="22"/>
              </w:rPr>
              <w:t xml:space="preserve">. </w:t>
            </w:r>
            <w:r w:rsidRPr="009457C5">
              <w:rPr>
                <w:rFonts w:eastAsia="Times New Roman"/>
                <w:sz w:val="22"/>
                <w:szCs w:val="22"/>
              </w:rPr>
              <w:t xml:space="preserve">Косметическая облицовка – модульная мягкая полиуретановая. Косметическое покрытие облицовки – чулки ортопедические </w:t>
            </w:r>
            <w:proofErr w:type="spellStart"/>
            <w:r w:rsidRPr="009457C5">
              <w:rPr>
                <w:rFonts w:eastAsia="Times New Roman"/>
                <w:sz w:val="22"/>
                <w:szCs w:val="22"/>
              </w:rPr>
              <w:t>перлоновые</w:t>
            </w:r>
            <w:proofErr w:type="spellEnd"/>
            <w:r w:rsidRPr="009457C5">
              <w:rPr>
                <w:rFonts w:eastAsia="Times New Roman"/>
                <w:sz w:val="22"/>
                <w:szCs w:val="22"/>
              </w:rPr>
              <w:t xml:space="preserve">. </w:t>
            </w:r>
            <w:r w:rsidRPr="009457C5">
              <w:rPr>
                <w:sz w:val="22"/>
                <w:szCs w:val="22"/>
              </w:rPr>
              <w:t xml:space="preserve"> Приёмная гильза индивидуальная, изготовленная по индивидуальному слепку с культи инвалида. Количество примерочных (пробных) гильз – 1. Материал индивидуальной постоянной гильзы: литьевой слоистый пластик на основе акриловых смол;</w:t>
            </w:r>
            <w:r w:rsidRPr="009457C5">
              <w:rPr>
                <w:color w:val="FF0000"/>
                <w:sz w:val="22"/>
                <w:szCs w:val="22"/>
              </w:rPr>
              <w:t xml:space="preserve"> </w:t>
            </w:r>
            <w:r w:rsidRPr="009457C5">
              <w:rPr>
                <w:sz w:val="22"/>
                <w:szCs w:val="22"/>
              </w:rPr>
              <w:t>листовой термопласт. В качестве вкладного элемента применяется чехол полимерный, крепление протеза с использованием замкового устройства. Регулиро</w:t>
            </w:r>
            <w:r w:rsidR="00762B4C">
              <w:rPr>
                <w:sz w:val="22"/>
                <w:szCs w:val="22"/>
              </w:rPr>
              <w:t>вочно-соединительные устройства</w:t>
            </w:r>
            <w:bookmarkStart w:id="1" w:name="_GoBack"/>
            <w:bookmarkEnd w:id="1"/>
            <w:r w:rsidRPr="009457C5">
              <w:rPr>
                <w:sz w:val="22"/>
                <w:szCs w:val="22"/>
              </w:rPr>
              <w:t xml:space="preserve"> соответствуют весу инвалида. </w:t>
            </w:r>
            <w:r w:rsidRPr="009457C5">
              <w:rPr>
                <w:rFonts w:eastAsia="Times New Roman"/>
                <w:sz w:val="22"/>
                <w:szCs w:val="22"/>
              </w:rPr>
              <w:t xml:space="preserve">Энергосберегающая карбоновая стопа с гидравлической щиколоткой с возможностью бесступенчатой регулировки высоты каблука от 0 до 7 сантиметров, с расщепленной носочной частью с отведённым большим пальцем. </w:t>
            </w:r>
            <w:r w:rsidRPr="009457C5">
              <w:rPr>
                <w:sz w:val="22"/>
                <w:szCs w:val="22"/>
              </w:rPr>
              <w:t xml:space="preserve">Тип протеза по назначению: </w:t>
            </w:r>
            <w:r w:rsidRPr="009457C5">
              <w:rPr>
                <w:rFonts w:eastAsia="Times New Roman"/>
                <w:sz w:val="22"/>
                <w:szCs w:val="22"/>
              </w:rPr>
              <w:t>постоянный.</w:t>
            </w:r>
          </w:p>
        </w:tc>
        <w:tc>
          <w:tcPr>
            <w:tcW w:w="2464" w:type="dxa"/>
            <w:tcBorders>
              <w:top w:val="single" w:sz="4" w:space="0" w:color="auto"/>
              <w:left w:val="single" w:sz="4" w:space="0" w:color="auto"/>
              <w:bottom w:val="single" w:sz="4" w:space="0" w:color="auto"/>
              <w:right w:val="single" w:sz="4" w:space="0" w:color="auto"/>
            </w:tcBorders>
          </w:tcPr>
          <w:p w:rsidR="009457C5" w:rsidRPr="009457C5" w:rsidRDefault="009457C5" w:rsidP="00462239">
            <w:pPr>
              <w:keepNext/>
              <w:keepLines/>
              <w:snapToGrid w:val="0"/>
              <w:jc w:val="center"/>
              <w:rPr>
                <w:sz w:val="22"/>
                <w:szCs w:val="22"/>
              </w:rPr>
            </w:pPr>
            <w:r w:rsidRPr="009457C5">
              <w:rPr>
                <w:sz w:val="22"/>
                <w:szCs w:val="22"/>
              </w:rPr>
              <w:t>1</w:t>
            </w:r>
          </w:p>
        </w:tc>
      </w:tr>
      <w:tr w:rsidR="009457C5" w:rsidRPr="009457C5" w:rsidTr="009457C5">
        <w:trPr>
          <w:trHeight w:val="331"/>
        </w:trPr>
        <w:tc>
          <w:tcPr>
            <w:tcW w:w="14884" w:type="dxa"/>
            <w:gridSpan w:val="3"/>
            <w:tcBorders>
              <w:top w:val="single" w:sz="4" w:space="0" w:color="auto"/>
              <w:left w:val="single" w:sz="4" w:space="0" w:color="auto"/>
              <w:bottom w:val="single" w:sz="4" w:space="0" w:color="auto"/>
              <w:right w:val="single" w:sz="4" w:space="0" w:color="auto"/>
            </w:tcBorders>
          </w:tcPr>
          <w:p w:rsidR="009457C5" w:rsidRPr="009457C5" w:rsidRDefault="009457C5" w:rsidP="00462239">
            <w:pPr>
              <w:keepNext/>
              <w:keepLines/>
              <w:snapToGrid w:val="0"/>
              <w:jc w:val="both"/>
              <w:rPr>
                <w:b/>
                <w:sz w:val="22"/>
                <w:szCs w:val="22"/>
              </w:rPr>
            </w:pPr>
          </w:p>
          <w:p w:rsidR="009457C5" w:rsidRPr="009457C5" w:rsidRDefault="009457C5" w:rsidP="00462239">
            <w:pPr>
              <w:keepNext/>
              <w:keepLines/>
              <w:snapToGrid w:val="0"/>
              <w:jc w:val="both"/>
              <w:rPr>
                <w:b/>
                <w:sz w:val="22"/>
                <w:szCs w:val="22"/>
              </w:rPr>
            </w:pPr>
            <w:r w:rsidRPr="009457C5">
              <w:rPr>
                <w:b/>
                <w:sz w:val="22"/>
                <w:szCs w:val="22"/>
              </w:rPr>
              <w:t>Требования к выполнению работ, их качеству, безопасности, результатам.</w:t>
            </w:r>
          </w:p>
          <w:p w:rsidR="009457C5" w:rsidRPr="009457C5" w:rsidRDefault="009457C5" w:rsidP="00462239">
            <w:pPr>
              <w:keepNext/>
              <w:keepLines/>
              <w:snapToGrid w:val="0"/>
              <w:ind w:firstLine="601"/>
              <w:jc w:val="both"/>
              <w:rPr>
                <w:sz w:val="22"/>
                <w:szCs w:val="22"/>
                <w:u w:val="single"/>
              </w:rPr>
            </w:pPr>
            <w:r w:rsidRPr="009457C5">
              <w:rPr>
                <w:sz w:val="22"/>
                <w:szCs w:val="22"/>
              </w:rPr>
              <w:t xml:space="preserve">Протезы нижних конечностей должны соответствовать требованиям Протезы нижних конечностей должны соответствовать требованиям ГОСТ </w:t>
            </w:r>
            <w:r w:rsidRPr="009457C5">
              <w:rPr>
                <w:sz w:val="22"/>
                <w:szCs w:val="22"/>
                <w:lang w:val="en-US"/>
              </w:rPr>
              <w:t>ISO</w:t>
            </w:r>
            <w:r w:rsidRPr="009457C5">
              <w:rPr>
                <w:sz w:val="22"/>
                <w:szCs w:val="22"/>
              </w:rPr>
              <w:t xml:space="preserve"> 10993-1-2021, ГОСТ </w:t>
            </w:r>
            <w:r w:rsidRPr="009457C5">
              <w:rPr>
                <w:sz w:val="22"/>
                <w:szCs w:val="22"/>
                <w:lang w:val="en-US"/>
              </w:rPr>
              <w:t>ISO</w:t>
            </w:r>
            <w:r w:rsidRPr="009457C5">
              <w:rPr>
                <w:sz w:val="22"/>
                <w:szCs w:val="22"/>
              </w:rPr>
              <w:t xml:space="preserve"> 10993-5-2011, ГОСТ </w:t>
            </w:r>
            <w:r w:rsidRPr="009457C5">
              <w:rPr>
                <w:sz w:val="22"/>
                <w:szCs w:val="22"/>
                <w:lang w:val="en-US"/>
              </w:rPr>
              <w:t>ISO</w:t>
            </w:r>
            <w:r w:rsidRPr="009457C5">
              <w:rPr>
                <w:sz w:val="22"/>
                <w:szCs w:val="22"/>
              </w:rPr>
              <w:t xml:space="preserve"> 10993-10-2011, ГОСТ Р 52770-2016, ГОСТ Р ИСО 22523-2007.</w:t>
            </w:r>
          </w:p>
          <w:p w:rsidR="009457C5" w:rsidRPr="009457C5" w:rsidRDefault="009457C5" w:rsidP="00462239">
            <w:pPr>
              <w:keepNext/>
              <w:keepLines/>
              <w:ind w:firstLine="601"/>
              <w:jc w:val="both"/>
              <w:rPr>
                <w:sz w:val="22"/>
                <w:szCs w:val="22"/>
              </w:rPr>
            </w:pPr>
            <w:r w:rsidRPr="009457C5">
              <w:rPr>
                <w:sz w:val="22"/>
                <w:szCs w:val="22"/>
              </w:rPr>
              <w:t xml:space="preserve">Выполнение работ по изготовлению для застрахованных лиц, получивших повреждение здоровья в результате несчастных случаев на производстве протезов нижних конечностей должно содержать комплекс медицинских, </w:t>
            </w:r>
            <w:proofErr w:type="gramStart"/>
            <w:r w:rsidRPr="009457C5">
              <w:rPr>
                <w:sz w:val="22"/>
                <w:szCs w:val="22"/>
              </w:rPr>
              <w:t>технических и социальных мероприятий</w:t>
            </w:r>
            <w:proofErr w:type="gramEnd"/>
            <w:r w:rsidRPr="009457C5">
              <w:rPr>
                <w:sz w:val="22"/>
                <w:szCs w:val="22"/>
              </w:rPr>
              <w:t xml:space="preserve"> проводимых с застрахованными лицами, получившими повреждения здоровья в результате несчастных случаев на производстве, имеющих нарушения и (или) дефекты опорно-двигательного аппарата, в целях восстановления или компенсации ограничений его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застрахованного лица, получившего повреждение здоровья в результате несчастного случая на производстве и профессионального заболевания и предназначается для размещения в нем культи или </w:t>
            </w:r>
            <w:r w:rsidRPr="009457C5">
              <w:rPr>
                <w:sz w:val="22"/>
                <w:szCs w:val="22"/>
              </w:rPr>
              <w:lastRenderedPageBreak/>
              <w:t xml:space="preserve">пораженной конечности. Функциональный узел протеза выполняет заданную функцию и имеет конструктивно-технологическую завершенность. </w:t>
            </w:r>
          </w:p>
          <w:p w:rsidR="009457C5" w:rsidRPr="009457C5" w:rsidRDefault="009457C5" w:rsidP="00462239">
            <w:pPr>
              <w:keepNext/>
              <w:keepLines/>
              <w:snapToGrid w:val="0"/>
              <w:ind w:firstLine="601"/>
              <w:jc w:val="both"/>
              <w:rPr>
                <w:sz w:val="22"/>
                <w:szCs w:val="22"/>
              </w:rPr>
            </w:pPr>
            <w:r w:rsidRPr="009457C5">
              <w:rPr>
                <w:sz w:val="22"/>
                <w:szCs w:val="22"/>
              </w:rPr>
              <w:t xml:space="preserve">Выполнение работ по изготовлению протезов нижних конечностей для застрахованных лиц, получивших повреждение здоровья в результате несчастных случаев на производстве и профессиональных заболеваний должно осуществляется Исполнителем лично (или соисполнителем). </w:t>
            </w:r>
          </w:p>
          <w:p w:rsidR="009457C5" w:rsidRPr="009457C5" w:rsidRDefault="009457C5" w:rsidP="00462239">
            <w:pPr>
              <w:keepNext/>
              <w:keepLines/>
              <w:snapToGrid w:val="0"/>
              <w:ind w:firstLine="601"/>
              <w:jc w:val="both"/>
              <w:rPr>
                <w:sz w:val="22"/>
                <w:szCs w:val="22"/>
              </w:rPr>
            </w:pPr>
            <w:r w:rsidRPr="009457C5">
              <w:rPr>
                <w:sz w:val="22"/>
                <w:szCs w:val="22"/>
              </w:rPr>
              <w:t xml:space="preserve">Исполнитель (или соисполнитель) должен </w:t>
            </w:r>
            <w:r w:rsidR="00124440">
              <w:rPr>
                <w:sz w:val="22"/>
                <w:szCs w:val="22"/>
              </w:rPr>
              <w:t>им</w:t>
            </w:r>
            <w:r w:rsidRPr="009457C5">
              <w:rPr>
                <w:sz w:val="22"/>
                <w:szCs w:val="22"/>
              </w:rPr>
              <w:t xml:space="preserve">еть действующую лицензию на осуществление медицинской деятельности </w:t>
            </w:r>
            <w:r w:rsidRPr="009457C5">
              <w:rPr>
                <w:b/>
                <w:sz w:val="22"/>
                <w:szCs w:val="22"/>
              </w:rPr>
              <w:t>по травматологии и ортопедии (с местом осуществления лицензируемого вида деятельности на территории г. Перми)</w:t>
            </w:r>
            <w:r w:rsidRPr="009457C5">
              <w:rPr>
                <w:sz w:val="22"/>
                <w:szCs w:val="22"/>
              </w:rPr>
              <w:t xml:space="preserve"> (</w:t>
            </w:r>
            <w:hyperlink r:id="rId5" w:history="1">
              <w:r w:rsidRPr="009457C5">
                <w:rPr>
                  <w:sz w:val="22"/>
                  <w:szCs w:val="22"/>
                </w:rPr>
                <w:t>п. 46. ч. 1 ст. 12</w:t>
              </w:r>
            </w:hyperlink>
            <w:r w:rsidRPr="009457C5">
              <w:rPr>
                <w:sz w:val="22"/>
                <w:szCs w:val="22"/>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N 852 от 01.06.2021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457C5" w:rsidRPr="009457C5" w:rsidRDefault="009457C5" w:rsidP="00462239">
            <w:pPr>
              <w:keepNext/>
              <w:keepLines/>
              <w:snapToGrid w:val="0"/>
              <w:ind w:firstLine="601"/>
              <w:jc w:val="both"/>
              <w:rPr>
                <w:sz w:val="22"/>
                <w:szCs w:val="22"/>
              </w:rPr>
            </w:pPr>
            <w:r w:rsidRPr="009457C5">
              <w:rPr>
                <w:sz w:val="22"/>
                <w:szCs w:val="22"/>
              </w:rPr>
              <w:t>Работы по обеспечению застрахованных лиц, получивших повреждение здоровья в результате несчастных случаев на производстве и профессиональных заболеваний протезами нижних конечностей следует считать выполненными, если у застрахованного лица, получившего повреждение здоровья в результате несчастного случая на производстве и профессионального заболевания созданы условия для предупреждения развития деформации или благоприятного течения болезни. Работы по изготовлению протезов нижних конечности</w:t>
            </w:r>
            <w:r w:rsidR="004B4DD3">
              <w:rPr>
                <w:sz w:val="22"/>
                <w:szCs w:val="22"/>
              </w:rPr>
              <w:t xml:space="preserve"> для </w:t>
            </w:r>
            <w:r w:rsidRPr="009457C5">
              <w:rPr>
                <w:sz w:val="22"/>
                <w:szCs w:val="22"/>
              </w:rPr>
              <w:t>застрахованных лиц, получивших повреждение здоровья в результате несчастных случаев на производстве и профессиональных заболеваний должны быть выполнены с надлежащим качеством и в установленные сроки.</w:t>
            </w:r>
          </w:p>
          <w:p w:rsidR="009457C5" w:rsidRPr="009457C5" w:rsidRDefault="009457C5" w:rsidP="00462239">
            <w:pPr>
              <w:keepNext/>
              <w:keepLines/>
              <w:snapToGrid w:val="0"/>
              <w:jc w:val="both"/>
              <w:rPr>
                <w:b/>
                <w:sz w:val="22"/>
                <w:szCs w:val="22"/>
              </w:rPr>
            </w:pPr>
            <w:r w:rsidRPr="009457C5">
              <w:rPr>
                <w:b/>
                <w:sz w:val="22"/>
                <w:szCs w:val="22"/>
              </w:rPr>
              <w:t xml:space="preserve">             </w:t>
            </w:r>
          </w:p>
          <w:p w:rsidR="009457C5" w:rsidRPr="009457C5" w:rsidRDefault="009457C5" w:rsidP="00462239">
            <w:pPr>
              <w:keepNext/>
              <w:keepLines/>
              <w:snapToGrid w:val="0"/>
              <w:jc w:val="both"/>
              <w:rPr>
                <w:b/>
                <w:sz w:val="22"/>
                <w:szCs w:val="22"/>
              </w:rPr>
            </w:pPr>
            <w:r w:rsidRPr="009457C5">
              <w:rPr>
                <w:b/>
                <w:sz w:val="22"/>
                <w:szCs w:val="22"/>
              </w:rPr>
              <w:t xml:space="preserve">      Требования к сроку предоставления гарантии качества выполнения работ</w:t>
            </w:r>
          </w:p>
          <w:p w:rsidR="009457C5" w:rsidRPr="009457C5" w:rsidRDefault="009457C5" w:rsidP="00462239">
            <w:pPr>
              <w:keepNext/>
              <w:keepLines/>
              <w:tabs>
                <w:tab w:val="left" w:pos="3960"/>
              </w:tabs>
              <w:suppressAutoHyphens w:val="0"/>
              <w:snapToGrid w:val="0"/>
              <w:jc w:val="both"/>
              <w:rPr>
                <w:sz w:val="22"/>
                <w:szCs w:val="22"/>
              </w:rPr>
            </w:pPr>
            <w:r w:rsidRPr="009457C5">
              <w:rPr>
                <w:sz w:val="22"/>
                <w:szCs w:val="22"/>
              </w:rPr>
              <w:t xml:space="preserve">На протезы нижней конечности устанавливается срок предоставления гарантии качества, в течение которого Исполнитель должен производить замену или ремонт изделия бесплатно. </w:t>
            </w:r>
          </w:p>
          <w:p w:rsidR="009457C5" w:rsidRPr="009457C5" w:rsidRDefault="009457C5" w:rsidP="00462239">
            <w:pPr>
              <w:keepNext/>
              <w:keepLines/>
              <w:tabs>
                <w:tab w:val="left" w:pos="3960"/>
              </w:tabs>
              <w:suppressAutoHyphens w:val="0"/>
              <w:snapToGrid w:val="0"/>
              <w:jc w:val="both"/>
              <w:rPr>
                <w:sz w:val="22"/>
                <w:szCs w:val="22"/>
              </w:rPr>
            </w:pPr>
          </w:p>
          <w:p w:rsidR="009457C5" w:rsidRPr="009457C5" w:rsidRDefault="009457C5" w:rsidP="00462239">
            <w:pPr>
              <w:keepNext/>
              <w:keepLines/>
              <w:tabs>
                <w:tab w:val="left" w:pos="3960"/>
              </w:tabs>
              <w:suppressAutoHyphens w:val="0"/>
              <w:snapToGrid w:val="0"/>
              <w:jc w:val="both"/>
              <w:rPr>
                <w:sz w:val="22"/>
                <w:szCs w:val="22"/>
              </w:rPr>
            </w:pPr>
            <w:r w:rsidRPr="009457C5">
              <w:rPr>
                <w:sz w:val="22"/>
                <w:szCs w:val="22"/>
              </w:rPr>
              <w:t xml:space="preserve">Гарантия качества распространяется на все составляющие изделия (результата работ). Срок предоставления гарантии качества выполнения работ по изготовлению протезов нижних конечностей </w:t>
            </w:r>
            <w:r w:rsidR="00155F83" w:rsidRPr="002F49D8">
              <w:rPr>
                <w:sz w:val="22"/>
                <w:szCs w:val="22"/>
              </w:rPr>
              <w:t>-</w:t>
            </w:r>
            <w:r w:rsidRPr="009457C5">
              <w:rPr>
                <w:sz w:val="22"/>
                <w:szCs w:val="22"/>
              </w:rPr>
              <w:t xml:space="preserve"> 12 (Двенадцать) месяцев со дня выдачи готового изделия застрахованному лицу, получившему повреждение здоровья в результате несчастных случаев на производстве и профессиональных заболеваний.</w:t>
            </w:r>
          </w:p>
          <w:p w:rsidR="009457C5" w:rsidRPr="009457C5" w:rsidRDefault="009457C5" w:rsidP="00462239">
            <w:pPr>
              <w:keepNext/>
              <w:keepLines/>
              <w:tabs>
                <w:tab w:val="left" w:pos="3960"/>
              </w:tabs>
              <w:suppressAutoHyphens w:val="0"/>
              <w:snapToGrid w:val="0"/>
              <w:jc w:val="both"/>
              <w:rPr>
                <w:sz w:val="22"/>
                <w:szCs w:val="22"/>
              </w:rPr>
            </w:pPr>
          </w:p>
          <w:p w:rsidR="009457C5" w:rsidRPr="009457C5" w:rsidRDefault="009457C5" w:rsidP="00462239">
            <w:pPr>
              <w:keepNext/>
              <w:keepLines/>
              <w:tabs>
                <w:tab w:val="left" w:pos="3960"/>
              </w:tabs>
              <w:suppressAutoHyphens w:val="0"/>
              <w:snapToGrid w:val="0"/>
              <w:jc w:val="both"/>
              <w:rPr>
                <w:sz w:val="22"/>
                <w:szCs w:val="22"/>
              </w:rPr>
            </w:pPr>
            <w:r w:rsidRPr="009457C5">
              <w:rPr>
                <w:rFonts w:eastAsia="Times New Roman"/>
                <w:kern w:val="0"/>
                <w:sz w:val="22"/>
                <w:szCs w:val="22"/>
                <w:lang w:eastAsia="ru-RU"/>
              </w:rPr>
              <w:t xml:space="preserve">Срок службы изготовленных протезов нижних конечностей – не менее 2 (Двух) лет. </w:t>
            </w:r>
            <w:r w:rsidRPr="009457C5">
              <w:rPr>
                <w:sz w:val="22"/>
                <w:szCs w:val="22"/>
                <w:lang w:eastAsia="ru-RU"/>
              </w:rPr>
              <w:t xml:space="preserve">Срок пользования техническим средством реабилитации, установлен </w:t>
            </w:r>
            <w:r w:rsidRPr="009457C5">
              <w:rPr>
                <w:sz w:val="22"/>
                <w:szCs w:val="22"/>
              </w:rPr>
              <w:t>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r w:rsidRPr="009457C5">
              <w:rPr>
                <w:sz w:val="22"/>
                <w:szCs w:val="22"/>
                <w:lang w:eastAsia="ru-RU"/>
              </w:rPr>
              <w:t>").</w:t>
            </w:r>
          </w:p>
        </w:tc>
      </w:tr>
    </w:tbl>
    <w:p w:rsidR="00D5242C" w:rsidRDefault="00D5242C" w:rsidP="009457C5">
      <w:pPr>
        <w:pStyle w:val="ConsPlusNonformat"/>
        <w:keepNext/>
        <w:keepLines/>
        <w:widowControl/>
        <w:jc w:val="both"/>
        <w:rPr>
          <w:rFonts w:ascii="Times New Roman" w:hAnsi="Times New Roman" w:cs="Times New Roman"/>
          <w:b/>
          <w:bCs/>
          <w:sz w:val="22"/>
          <w:szCs w:val="22"/>
        </w:rPr>
      </w:pPr>
    </w:p>
    <w:p w:rsidR="00D5242C" w:rsidRPr="00D5242C" w:rsidRDefault="00D5242C" w:rsidP="009457C5">
      <w:pPr>
        <w:pStyle w:val="ConsPlusNonformat"/>
        <w:keepNext/>
        <w:keepLines/>
        <w:widowControl/>
        <w:jc w:val="both"/>
        <w:rPr>
          <w:rFonts w:ascii="Times New Roman" w:hAnsi="Times New Roman" w:cs="Times New Roman"/>
          <w:sz w:val="22"/>
          <w:szCs w:val="22"/>
        </w:rPr>
      </w:pPr>
      <w:r w:rsidRPr="00D5242C">
        <w:rPr>
          <w:rFonts w:ascii="Times New Roman" w:eastAsia="Times New Roman" w:hAnsi="Times New Roman" w:cs="Times New Roman"/>
          <w:sz w:val="22"/>
          <w:szCs w:val="22"/>
        </w:rPr>
        <w:t>Место поставки товара (выполнения работ, оказания услуг)</w:t>
      </w:r>
      <w:r w:rsidR="002F49D8" w:rsidRPr="002F49D8">
        <w:rPr>
          <w:rFonts w:ascii="Times New Roman" w:eastAsia="Times New Roman" w:hAnsi="Times New Roman" w:cs="Times New Roman"/>
          <w:sz w:val="22"/>
          <w:szCs w:val="22"/>
        </w:rPr>
        <w:t xml:space="preserve"> </w:t>
      </w:r>
      <w:r w:rsidRPr="00D5242C">
        <w:rPr>
          <w:rFonts w:ascii="Times New Roman" w:eastAsia="Times New Roman" w:hAnsi="Times New Roman" w:cs="Times New Roman"/>
          <w:sz w:val="22"/>
          <w:szCs w:val="22"/>
        </w:rPr>
        <w:t xml:space="preserve">- </w:t>
      </w:r>
      <w:r w:rsidRPr="00D5242C">
        <w:rPr>
          <w:rFonts w:ascii="Times New Roman" w:hAnsi="Times New Roman" w:cs="Times New Roman"/>
          <w:sz w:val="22"/>
          <w:szCs w:val="22"/>
        </w:rPr>
        <w:t>Российская Федерация. Снятие мерок, примерка и выдача протезов нижних конечностей должны осуществляться в специализированном помещении на территории г. Перми.</w:t>
      </w:r>
    </w:p>
    <w:p w:rsidR="00D5242C" w:rsidRPr="00D5242C" w:rsidRDefault="00D5242C" w:rsidP="009457C5">
      <w:pPr>
        <w:pStyle w:val="ConsPlusNonformat"/>
        <w:keepNext/>
        <w:keepLines/>
        <w:widowControl/>
        <w:jc w:val="both"/>
        <w:rPr>
          <w:rFonts w:ascii="Times New Roman" w:hAnsi="Times New Roman" w:cs="Times New Roman"/>
          <w:sz w:val="22"/>
          <w:szCs w:val="22"/>
        </w:rPr>
      </w:pPr>
    </w:p>
    <w:p w:rsidR="00D5242C" w:rsidRPr="00D5242C" w:rsidRDefault="00D5242C" w:rsidP="009457C5">
      <w:pPr>
        <w:pStyle w:val="ConsPlusNonformat"/>
        <w:keepNext/>
        <w:keepLines/>
        <w:widowControl/>
        <w:jc w:val="both"/>
        <w:rPr>
          <w:rFonts w:ascii="Times New Roman" w:hAnsi="Times New Roman" w:cs="Times New Roman"/>
          <w:sz w:val="22"/>
          <w:szCs w:val="22"/>
        </w:rPr>
      </w:pPr>
      <w:r w:rsidRPr="00D5242C">
        <w:rPr>
          <w:rFonts w:ascii="Times New Roman" w:hAnsi="Times New Roman" w:cs="Times New Roman"/>
          <w:sz w:val="22"/>
          <w:szCs w:val="22"/>
        </w:rPr>
        <w:t xml:space="preserve">Срок поставки товара </w:t>
      </w:r>
      <w:r w:rsidRPr="00D5242C">
        <w:rPr>
          <w:rFonts w:ascii="Times New Roman" w:eastAsia="Times New Roman" w:hAnsi="Times New Roman" w:cs="Times New Roman"/>
          <w:sz w:val="22"/>
          <w:szCs w:val="22"/>
        </w:rPr>
        <w:t>(выполнения работ, оказания услуг)</w:t>
      </w:r>
      <w:r w:rsidR="002F49D8" w:rsidRPr="002F49D8">
        <w:rPr>
          <w:rFonts w:ascii="Times New Roman" w:eastAsia="Times New Roman" w:hAnsi="Times New Roman" w:cs="Times New Roman"/>
          <w:sz w:val="22"/>
          <w:szCs w:val="22"/>
        </w:rPr>
        <w:t xml:space="preserve"> </w:t>
      </w:r>
      <w:r w:rsidRPr="00D5242C">
        <w:rPr>
          <w:rFonts w:ascii="Times New Roman" w:eastAsia="Times New Roman" w:hAnsi="Times New Roman" w:cs="Times New Roman"/>
          <w:sz w:val="22"/>
          <w:szCs w:val="22"/>
        </w:rPr>
        <w:t xml:space="preserve">- </w:t>
      </w:r>
      <w:r w:rsidRPr="00D5242C">
        <w:rPr>
          <w:rFonts w:ascii="Times New Roman" w:hAnsi="Times New Roman" w:cs="Times New Roman"/>
          <w:sz w:val="22"/>
          <w:szCs w:val="22"/>
        </w:rPr>
        <w:t>в течение 60 (Шестидесяти) календарных дней с момента обращения Получателя к Исполнителю с направлением Заказчика.</w:t>
      </w:r>
    </w:p>
    <w:p w:rsidR="00D5242C" w:rsidRPr="00D5242C" w:rsidRDefault="00D5242C" w:rsidP="009457C5">
      <w:pPr>
        <w:pStyle w:val="ConsPlusNonformat"/>
        <w:keepNext/>
        <w:keepLines/>
        <w:widowControl/>
        <w:jc w:val="both"/>
        <w:rPr>
          <w:rFonts w:ascii="Times New Roman" w:hAnsi="Times New Roman" w:cs="Times New Roman"/>
          <w:b/>
          <w:bCs/>
          <w:sz w:val="22"/>
          <w:szCs w:val="22"/>
        </w:rPr>
      </w:pPr>
    </w:p>
    <w:p w:rsidR="009457C5" w:rsidRPr="009457C5" w:rsidRDefault="009457C5" w:rsidP="009457C5">
      <w:pPr>
        <w:pStyle w:val="ConsPlusNonformat"/>
        <w:keepNext/>
        <w:keepLines/>
        <w:widowControl/>
        <w:jc w:val="both"/>
        <w:rPr>
          <w:rFonts w:ascii="Times New Roman" w:hAnsi="Times New Roman" w:cs="Times New Roman"/>
          <w:b/>
          <w:sz w:val="22"/>
          <w:szCs w:val="22"/>
        </w:rPr>
      </w:pPr>
      <w:r w:rsidRPr="009457C5">
        <w:rPr>
          <w:rFonts w:ascii="Times New Roman" w:hAnsi="Times New Roman" w:cs="Times New Roman"/>
          <w:b/>
          <w:bCs/>
          <w:sz w:val="22"/>
          <w:szCs w:val="22"/>
        </w:rPr>
        <w:t>Срок действия государственного контракта по 25.12.2022 года.</w:t>
      </w:r>
    </w:p>
    <w:p w:rsidR="008B3C0C" w:rsidRPr="003B1636" w:rsidRDefault="008B3C0C" w:rsidP="009457C5">
      <w:pPr>
        <w:keepNext/>
        <w:keepLines/>
        <w:shd w:val="clear" w:color="auto" w:fill="FFFFFF"/>
        <w:tabs>
          <w:tab w:val="left" w:pos="0"/>
        </w:tabs>
        <w:spacing w:line="100" w:lineRule="atLeast"/>
        <w:ind w:firstLine="700"/>
        <w:jc w:val="center"/>
        <w:rPr>
          <w:b/>
          <w:spacing w:val="1"/>
          <w:sz w:val="22"/>
          <w:szCs w:val="22"/>
        </w:rPr>
      </w:pPr>
    </w:p>
    <w:sectPr w:rsidR="008B3C0C" w:rsidRPr="003B1636" w:rsidSect="009457C5">
      <w:pgSz w:w="15840" w:h="12240" w:orient="landscape"/>
      <w:pgMar w:top="851" w:right="425" w:bottom="851"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5200FDFF" w:usb2="0A24202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59058B"/>
    <w:rsid w:val="00020018"/>
    <w:rsid w:val="0002447B"/>
    <w:rsid w:val="00031D82"/>
    <w:rsid w:val="0004631C"/>
    <w:rsid w:val="00046833"/>
    <w:rsid w:val="000A3D8B"/>
    <w:rsid w:val="000A3E9A"/>
    <w:rsid w:val="000A52A0"/>
    <w:rsid w:val="000B4ABA"/>
    <w:rsid w:val="000D001D"/>
    <w:rsid w:val="00103AC9"/>
    <w:rsid w:val="00114DED"/>
    <w:rsid w:val="00124440"/>
    <w:rsid w:val="00140669"/>
    <w:rsid w:val="00141D96"/>
    <w:rsid w:val="001532CE"/>
    <w:rsid w:val="00155F83"/>
    <w:rsid w:val="00166AA7"/>
    <w:rsid w:val="001C6574"/>
    <w:rsid w:val="001E0041"/>
    <w:rsid w:val="001E5F8A"/>
    <w:rsid w:val="001F335B"/>
    <w:rsid w:val="001F4775"/>
    <w:rsid w:val="0022793C"/>
    <w:rsid w:val="002437AE"/>
    <w:rsid w:val="002456AD"/>
    <w:rsid w:val="00257FBB"/>
    <w:rsid w:val="0026295F"/>
    <w:rsid w:val="002A1629"/>
    <w:rsid w:val="002A43B8"/>
    <w:rsid w:val="002D0665"/>
    <w:rsid w:val="002D1A2E"/>
    <w:rsid w:val="002F49D8"/>
    <w:rsid w:val="002F7650"/>
    <w:rsid w:val="00301972"/>
    <w:rsid w:val="00304AB3"/>
    <w:rsid w:val="003101DB"/>
    <w:rsid w:val="003237B0"/>
    <w:rsid w:val="00330D76"/>
    <w:rsid w:val="0036337B"/>
    <w:rsid w:val="0036363F"/>
    <w:rsid w:val="00365E03"/>
    <w:rsid w:val="00371EF5"/>
    <w:rsid w:val="00383384"/>
    <w:rsid w:val="00386400"/>
    <w:rsid w:val="003B1636"/>
    <w:rsid w:val="003B18D2"/>
    <w:rsid w:val="003B4D3B"/>
    <w:rsid w:val="003D3D52"/>
    <w:rsid w:val="003F4FD1"/>
    <w:rsid w:val="003F5DE3"/>
    <w:rsid w:val="003F6DEB"/>
    <w:rsid w:val="00405CB7"/>
    <w:rsid w:val="00430B31"/>
    <w:rsid w:val="00465043"/>
    <w:rsid w:val="004B4DD3"/>
    <w:rsid w:val="004C5600"/>
    <w:rsid w:val="004C5C08"/>
    <w:rsid w:val="004C6A00"/>
    <w:rsid w:val="004D5A1B"/>
    <w:rsid w:val="004D7814"/>
    <w:rsid w:val="00535217"/>
    <w:rsid w:val="00540E39"/>
    <w:rsid w:val="00555135"/>
    <w:rsid w:val="00557F88"/>
    <w:rsid w:val="00570686"/>
    <w:rsid w:val="0059058B"/>
    <w:rsid w:val="005A4697"/>
    <w:rsid w:val="005C64A5"/>
    <w:rsid w:val="005E61BB"/>
    <w:rsid w:val="00642F6B"/>
    <w:rsid w:val="00662068"/>
    <w:rsid w:val="00671129"/>
    <w:rsid w:val="00692E67"/>
    <w:rsid w:val="006951C3"/>
    <w:rsid w:val="00695EE2"/>
    <w:rsid w:val="006A4ECC"/>
    <w:rsid w:val="006C701C"/>
    <w:rsid w:val="006D1465"/>
    <w:rsid w:val="006D46ED"/>
    <w:rsid w:val="006D725F"/>
    <w:rsid w:val="00731EA4"/>
    <w:rsid w:val="00735B70"/>
    <w:rsid w:val="00762B4C"/>
    <w:rsid w:val="0076494A"/>
    <w:rsid w:val="00777DCE"/>
    <w:rsid w:val="00780391"/>
    <w:rsid w:val="007919CF"/>
    <w:rsid w:val="007D1C7C"/>
    <w:rsid w:val="007E5C88"/>
    <w:rsid w:val="007E6ADE"/>
    <w:rsid w:val="007E6CEF"/>
    <w:rsid w:val="00801CE4"/>
    <w:rsid w:val="00805746"/>
    <w:rsid w:val="0080605D"/>
    <w:rsid w:val="008077A8"/>
    <w:rsid w:val="008078FE"/>
    <w:rsid w:val="008237B9"/>
    <w:rsid w:val="00854529"/>
    <w:rsid w:val="00860D7E"/>
    <w:rsid w:val="00872DEE"/>
    <w:rsid w:val="00883482"/>
    <w:rsid w:val="00886918"/>
    <w:rsid w:val="008A01E9"/>
    <w:rsid w:val="008B3C0C"/>
    <w:rsid w:val="008C7550"/>
    <w:rsid w:val="008D2507"/>
    <w:rsid w:val="008D45C6"/>
    <w:rsid w:val="00931E48"/>
    <w:rsid w:val="00944349"/>
    <w:rsid w:val="009457C5"/>
    <w:rsid w:val="00953580"/>
    <w:rsid w:val="00980392"/>
    <w:rsid w:val="0098047F"/>
    <w:rsid w:val="00983ADA"/>
    <w:rsid w:val="00985E5D"/>
    <w:rsid w:val="00995353"/>
    <w:rsid w:val="009B0D51"/>
    <w:rsid w:val="009D5823"/>
    <w:rsid w:val="009E43A1"/>
    <w:rsid w:val="009F529A"/>
    <w:rsid w:val="00A01137"/>
    <w:rsid w:val="00A012F7"/>
    <w:rsid w:val="00A33156"/>
    <w:rsid w:val="00A35578"/>
    <w:rsid w:val="00A377F7"/>
    <w:rsid w:val="00A54887"/>
    <w:rsid w:val="00A95612"/>
    <w:rsid w:val="00AA5E23"/>
    <w:rsid w:val="00AB4850"/>
    <w:rsid w:val="00AD1726"/>
    <w:rsid w:val="00AD18EE"/>
    <w:rsid w:val="00AD4962"/>
    <w:rsid w:val="00AE3906"/>
    <w:rsid w:val="00B06C2A"/>
    <w:rsid w:val="00B10CD0"/>
    <w:rsid w:val="00B15A66"/>
    <w:rsid w:val="00B27013"/>
    <w:rsid w:val="00B371C4"/>
    <w:rsid w:val="00B42F11"/>
    <w:rsid w:val="00B605A5"/>
    <w:rsid w:val="00BA27BD"/>
    <w:rsid w:val="00BD082C"/>
    <w:rsid w:val="00BF6E98"/>
    <w:rsid w:val="00C01CF1"/>
    <w:rsid w:val="00C3398F"/>
    <w:rsid w:val="00C37367"/>
    <w:rsid w:val="00C4406B"/>
    <w:rsid w:val="00C46078"/>
    <w:rsid w:val="00C77DBB"/>
    <w:rsid w:val="00CA4554"/>
    <w:rsid w:val="00CA5C2F"/>
    <w:rsid w:val="00D268B0"/>
    <w:rsid w:val="00D31C85"/>
    <w:rsid w:val="00D4693E"/>
    <w:rsid w:val="00D5005D"/>
    <w:rsid w:val="00D5242C"/>
    <w:rsid w:val="00D85621"/>
    <w:rsid w:val="00D85BC4"/>
    <w:rsid w:val="00D936B5"/>
    <w:rsid w:val="00DB1A35"/>
    <w:rsid w:val="00DC6293"/>
    <w:rsid w:val="00DD3EE6"/>
    <w:rsid w:val="00DF41C7"/>
    <w:rsid w:val="00DF6320"/>
    <w:rsid w:val="00E07620"/>
    <w:rsid w:val="00E16B15"/>
    <w:rsid w:val="00E22EA3"/>
    <w:rsid w:val="00E23F1E"/>
    <w:rsid w:val="00E27A02"/>
    <w:rsid w:val="00E525B4"/>
    <w:rsid w:val="00E6531E"/>
    <w:rsid w:val="00E76793"/>
    <w:rsid w:val="00E93562"/>
    <w:rsid w:val="00ED3FEA"/>
    <w:rsid w:val="00EF542F"/>
    <w:rsid w:val="00F0543A"/>
    <w:rsid w:val="00F10579"/>
    <w:rsid w:val="00F21B7B"/>
    <w:rsid w:val="00F67CCD"/>
    <w:rsid w:val="00F850F8"/>
    <w:rsid w:val="00FD782B"/>
    <w:rsid w:val="00FE26A9"/>
    <w:rsid w:val="00FF217A"/>
    <w:rsid w:val="00FF4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8963CC"/>
  <w15:docId w15:val="{F7EA4376-38DE-47EF-A0E0-69434950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972"/>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301972"/>
    <w:rPr>
      <w:rFonts w:ascii="Symbol" w:eastAsia="Arial" w:hAnsi="Symbol" w:cs="Times New Roman"/>
    </w:rPr>
  </w:style>
  <w:style w:type="character" w:customStyle="1" w:styleId="WW8Num4z1">
    <w:name w:val="WW8Num4z1"/>
    <w:rsid w:val="00301972"/>
    <w:rPr>
      <w:rFonts w:ascii="Courier New" w:hAnsi="Courier New" w:cs="Courier New"/>
    </w:rPr>
  </w:style>
  <w:style w:type="character" w:customStyle="1" w:styleId="WW8Num4z2">
    <w:name w:val="WW8Num4z2"/>
    <w:rsid w:val="00301972"/>
    <w:rPr>
      <w:rFonts w:ascii="Wingdings" w:hAnsi="Wingdings"/>
    </w:rPr>
  </w:style>
  <w:style w:type="character" w:customStyle="1" w:styleId="WW8Num4z3">
    <w:name w:val="WW8Num4z3"/>
    <w:rsid w:val="00301972"/>
    <w:rPr>
      <w:rFonts w:ascii="Symbol" w:hAnsi="Symbol"/>
    </w:rPr>
  </w:style>
  <w:style w:type="character" w:customStyle="1" w:styleId="1">
    <w:name w:val="Основной шрифт абзаца1"/>
    <w:rsid w:val="00301972"/>
  </w:style>
  <w:style w:type="character" w:styleId="a3">
    <w:name w:val="page number"/>
    <w:basedOn w:val="1"/>
    <w:rsid w:val="00301972"/>
  </w:style>
  <w:style w:type="character" w:styleId="a4">
    <w:name w:val="Hyperlink"/>
    <w:basedOn w:val="1"/>
    <w:rsid w:val="00301972"/>
    <w:rPr>
      <w:color w:val="0000FF"/>
      <w:u w:val="single"/>
    </w:rPr>
  </w:style>
  <w:style w:type="paragraph" w:customStyle="1" w:styleId="10">
    <w:name w:val="Заголовок1"/>
    <w:basedOn w:val="a"/>
    <w:next w:val="a5"/>
    <w:rsid w:val="00301972"/>
    <w:pPr>
      <w:keepNext/>
      <w:spacing w:before="240" w:after="120"/>
    </w:pPr>
    <w:rPr>
      <w:rFonts w:ascii="Arial" w:eastAsia="SimSun" w:hAnsi="Arial" w:cs="Mangal"/>
      <w:sz w:val="28"/>
      <w:szCs w:val="28"/>
    </w:rPr>
  </w:style>
  <w:style w:type="paragraph" w:styleId="a5">
    <w:name w:val="Body Text"/>
    <w:basedOn w:val="a"/>
    <w:rsid w:val="00301972"/>
    <w:pPr>
      <w:spacing w:after="120"/>
    </w:pPr>
  </w:style>
  <w:style w:type="paragraph" w:styleId="a6">
    <w:name w:val="List"/>
    <w:basedOn w:val="a5"/>
    <w:rsid w:val="00301972"/>
    <w:rPr>
      <w:rFonts w:cs="Mangal"/>
    </w:rPr>
  </w:style>
  <w:style w:type="paragraph" w:customStyle="1" w:styleId="11">
    <w:name w:val="Название1"/>
    <w:basedOn w:val="a"/>
    <w:rsid w:val="00301972"/>
    <w:pPr>
      <w:suppressLineNumbers/>
      <w:spacing w:before="120" w:after="120"/>
    </w:pPr>
    <w:rPr>
      <w:rFonts w:cs="Mangal"/>
      <w:i/>
      <w:iCs/>
    </w:rPr>
  </w:style>
  <w:style w:type="paragraph" w:customStyle="1" w:styleId="12">
    <w:name w:val="Указатель1"/>
    <w:basedOn w:val="a"/>
    <w:rsid w:val="00301972"/>
    <w:pPr>
      <w:suppressLineNumbers/>
    </w:pPr>
    <w:rPr>
      <w:rFonts w:cs="Mangal"/>
    </w:rPr>
  </w:style>
  <w:style w:type="paragraph" w:customStyle="1" w:styleId="3">
    <w:name w:val="Стиль3 Знак Знак"/>
    <w:basedOn w:val="a"/>
    <w:rsid w:val="00301972"/>
    <w:pPr>
      <w:tabs>
        <w:tab w:val="left" w:pos="17147"/>
      </w:tabs>
      <w:spacing w:line="100" w:lineRule="atLeast"/>
      <w:ind w:left="360"/>
      <w:jc w:val="both"/>
    </w:pPr>
    <w:rPr>
      <w:szCs w:val="20"/>
    </w:rPr>
  </w:style>
  <w:style w:type="paragraph" w:styleId="a7">
    <w:name w:val="header"/>
    <w:basedOn w:val="a"/>
    <w:rsid w:val="00301972"/>
    <w:pPr>
      <w:suppressLineNumbers/>
      <w:tabs>
        <w:tab w:val="center" w:pos="4818"/>
        <w:tab w:val="right" w:pos="9637"/>
      </w:tabs>
    </w:pPr>
  </w:style>
  <w:style w:type="paragraph" w:styleId="a8">
    <w:name w:val="footer"/>
    <w:basedOn w:val="a"/>
    <w:rsid w:val="00301972"/>
    <w:pPr>
      <w:suppressLineNumbers/>
      <w:tabs>
        <w:tab w:val="center" w:pos="4818"/>
        <w:tab w:val="right" w:pos="9637"/>
      </w:tabs>
    </w:pPr>
  </w:style>
  <w:style w:type="paragraph" w:customStyle="1" w:styleId="13">
    <w:name w:val="Обычный1"/>
    <w:rsid w:val="00301972"/>
    <w:pPr>
      <w:widowControl w:val="0"/>
      <w:suppressAutoHyphens/>
      <w:spacing w:line="300" w:lineRule="auto"/>
    </w:pPr>
    <w:rPr>
      <w:rFonts w:eastAsia="Arial"/>
      <w:sz w:val="22"/>
      <w:lang w:eastAsia="ar-SA"/>
    </w:rPr>
  </w:style>
  <w:style w:type="paragraph" w:customStyle="1" w:styleId="ConsPlusNonformat">
    <w:name w:val="ConsPlusNonformat"/>
    <w:rsid w:val="00301972"/>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301972"/>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301972"/>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ad">
    <w:name w:val="Знак Знак Знак Знак Знак Знак Знак Знак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styleId="ae">
    <w:name w:val="Balloon Text"/>
    <w:basedOn w:val="a"/>
    <w:rsid w:val="00301972"/>
    <w:rPr>
      <w:rFonts w:ascii="Tahoma" w:hAnsi="Tahoma" w:cs="Tahoma"/>
      <w:sz w:val="16"/>
      <w:szCs w:val="16"/>
    </w:rPr>
  </w:style>
  <w:style w:type="paragraph" w:customStyle="1" w:styleId="17">
    <w:name w:val="Знак Знак Знак Знак Знак Знак Знак Знак Знак Знак1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18">
    <w:name w:val="Знак1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19">
    <w:name w:val="Знак Знак Знак Знак Знак Знак Знак Знак Знак Знак1 Знак Знак Знак Знак Знак Знак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af">
    <w:name w:val="Содержимое таблицы"/>
    <w:basedOn w:val="a"/>
    <w:rsid w:val="00301972"/>
    <w:pPr>
      <w:suppressLineNumbers/>
    </w:pPr>
  </w:style>
  <w:style w:type="paragraph" w:customStyle="1" w:styleId="af0">
    <w:name w:val="Заголовок таблицы"/>
    <w:basedOn w:val="af"/>
    <w:rsid w:val="00301972"/>
    <w:pPr>
      <w:jc w:val="center"/>
    </w:pPr>
    <w:rPr>
      <w:b/>
      <w:bCs/>
    </w:rPr>
  </w:style>
  <w:style w:type="table" w:styleId="af1">
    <w:name w:val="Table Grid"/>
    <w:basedOn w:val="a1"/>
    <w:uiPriority w:val="59"/>
    <w:rsid w:val="0043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457C5"/>
    <w:pPr>
      <w:widowControl w:val="0"/>
      <w:suppressAutoHyphens/>
    </w:pPr>
    <w:rPr>
      <w:rFonts w:eastAsia="Lucida Sans Unicode"/>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94D595CEA4EEC6448BB7645EF11D24CA90FDBDAD3808A4DCF7B0FE109F8CE199202DCE89C5404F6BF414B870F11665D329747327E4F8D921O64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8D592-AEAF-4DF1-9D9A-FBEF9D0B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1177</Words>
  <Characters>6711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Левичева Наталья Юрьевна</cp:lastModifiedBy>
  <cp:revision>34</cp:revision>
  <cp:lastPrinted>2022-02-22T04:00:00Z</cp:lastPrinted>
  <dcterms:created xsi:type="dcterms:W3CDTF">2022-02-24T12:22:00Z</dcterms:created>
  <dcterms:modified xsi:type="dcterms:W3CDTF">2022-04-11T10:11:00Z</dcterms:modified>
</cp:coreProperties>
</file>