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C3" w:rsidRPr="00A806B1" w:rsidRDefault="00413CC3" w:rsidP="00413CC3">
      <w:pPr>
        <w:numPr>
          <w:ilvl w:val="0"/>
          <w:numId w:val="11"/>
        </w:numPr>
        <w:tabs>
          <w:tab w:val="left" w:pos="567"/>
        </w:tabs>
        <w:jc w:val="right"/>
        <w:rPr>
          <w:i/>
        </w:rPr>
      </w:pPr>
      <w:r w:rsidRPr="00A806B1">
        <w:rPr>
          <w:i/>
        </w:rPr>
        <w:t xml:space="preserve">Приложение № 1 </w:t>
      </w:r>
    </w:p>
    <w:p w:rsidR="00413CC3" w:rsidRDefault="00413CC3" w:rsidP="00413CC3">
      <w:pPr>
        <w:widowControl w:val="0"/>
        <w:ind w:right="-24"/>
        <w:jc w:val="right"/>
        <w:rPr>
          <w:i/>
        </w:rPr>
      </w:pPr>
      <w:r w:rsidRPr="00A806B1">
        <w:rPr>
          <w:i/>
        </w:rPr>
        <w:t>к извещению о проведении закупки</w:t>
      </w:r>
    </w:p>
    <w:p w:rsidR="00413CC3" w:rsidRDefault="00413CC3" w:rsidP="00413CC3">
      <w:pPr>
        <w:pStyle w:val="Web"/>
        <w:snapToGrid w:val="0"/>
        <w:spacing w:before="0" w:after="0"/>
        <w:jc w:val="center"/>
        <w:rPr>
          <w:rFonts w:ascii="Times New Roman" w:hAnsi="Times New Roman" w:cs="Times New Roman"/>
          <w:b/>
          <w:sz w:val="26"/>
          <w:szCs w:val="26"/>
        </w:rPr>
      </w:pPr>
    </w:p>
    <w:p w:rsidR="00413CC3" w:rsidRPr="008B2C48" w:rsidRDefault="00413CC3" w:rsidP="00413CC3">
      <w:pPr>
        <w:jc w:val="center"/>
        <w:rPr>
          <w:rFonts w:eastAsia="Times New Roman"/>
          <w:b/>
        </w:rPr>
      </w:pPr>
      <w:r w:rsidRPr="008B2C48">
        <w:rPr>
          <w:rFonts w:eastAsia="Times New Roman"/>
          <w:b/>
        </w:rPr>
        <w:t xml:space="preserve">Описание объекта закупки (техническое задание) </w:t>
      </w:r>
    </w:p>
    <w:p w:rsidR="00413CC3" w:rsidRDefault="00413CC3" w:rsidP="00413CC3">
      <w:pPr>
        <w:pStyle w:val="Web"/>
        <w:snapToGrid w:val="0"/>
        <w:spacing w:before="0" w:after="0"/>
        <w:jc w:val="center"/>
        <w:rPr>
          <w:b/>
        </w:rPr>
      </w:pPr>
      <w:r w:rsidRPr="00C37F2E">
        <w:rPr>
          <w:rFonts w:ascii="Times New Roman" w:hAnsi="Times New Roman" w:cs="Times New Roman"/>
          <w:b/>
        </w:rPr>
        <w:t xml:space="preserve">на поставку </w:t>
      </w:r>
      <w:r w:rsidRPr="00C872C6">
        <w:rPr>
          <w:rFonts w:ascii="Times New Roman" w:hAnsi="Times New Roman" w:cs="Times New Roman"/>
          <w:b/>
        </w:rPr>
        <w:t>впитывающих простыней (пеленок) (далее – Товар) для инвалидов</w:t>
      </w:r>
      <w:r w:rsidRPr="00C37F2E">
        <w:rPr>
          <w:b/>
        </w:rPr>
        <w:t xml:space="preserve"> </w:t>
      </w:r>
    </w:p>
    <w:p w:rsidR="00413CC3" w:rsidRPr="00C37F2E" w:rsidRDefault="00413CC3" w:rsidP="00413CC3">
      <w:pPr>
        <w:jc w:val="center"/>
        <w:rPr>
          <w:b/>
        </w:rPr>
      </w:pPr>
      <w:r w:rsidRPr="00C37F2E">
        <w:rPr>
          <w:b/>
        </w:rPr>
        <w:t>(далее – Получатели) в 202</w:t>
      </w:r>
      <w:r w:rsidRPr="00AF3711">
        <w:rPr>
          <w:b/>
        </w:rPr>
        <w:t>3</w:t>
      </w:r>
      <w:r w:rsidRPr="00C37F2E">
        <w:rPr>
          <w:b/>
        </w:rPr>
        <w:t xml:space="preserve"> году </w:t>
      </w:r>
    </w:p>
    <w:p w:rsidR="00A25F69" w:rsidRDefault="00A25F69" w:rsidP="00A25F69">
      <w:pPr>
        <w:jc w:val="center"/>
        <w:rPr>
          <w:b/>
        </w:rPr>
      </w:pPr>
    </w:p>
    <w:p w:rsidR="00E342BD" w:rsidRPr="00F32DB0" w:rsidRDefault="00E342BD" w:rsidP="009F20F8">
      <w:pPr>
        <w:ind w:firstLine="284"/>
        <w:jc w:val="both"/>
      </w:pPr>
      <w:r w:rsidRPr="00F32DB0">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E342BD" w:rsidRPr="00F32DB0" w:rsidRDefault="00E342BD" w:rsidP="00E342BD">
      <w:pPr>
        <w:jc w:val="center"/>
        <w:rPr>
          <w:b/>
        </w:rPr>
      </w:pPr>
    </w:p>
    <w:p w:rsidR="00E342BD" w:rsidRPr="005C1EA7" w:rsidRDefault="00E342BD" w:rsidP="00E342BD">
      <w:pPr>
        <w:jc w:val="both"/>
        <w:rPr>
          <w:color w:val="FF0000"/>
        </w:rPr>
      </w:pPr>
      <w:r w:rsidRPr="00F32DB0">
        <w:rPr>
          <w:b/>
        </w:rPr>
        <w:t>Срок поставки Товара</w:t>
      </w:r>
      <w:r>
        <w:rPr>
          <w:b/>
        </w:rPr>
        <w:t xml:space="preserve"> Получателям</w:t>
      </w:r>
      <w:r w:rsidRPr="00F32DB0">
        <w:rPr>
          <w:b/>
        </w:rPr>
        <w:t>:</w:t>
      </w:r>
      <w:r w:rsidRPr="00F32DB0">
        <w:t xml:space="preserve"> с даты получения</w:t>
      </w:r>
      <w:r w:rsidR="00E77604">
        <w:t xml:space="preserve"> </w:t>
      </w:r>
      <w:r w:rsidRPr="00F32DB0">
        <w:t>от Заказчика реестра получателей Товара</w:t>
      </w:r>
      <w:r w:rsidR="00E77604">
        <w:t xml:space="preserve">, </w:t>
      </w:r>
      <w:r w:rsidR="00E77604" w:rsidRPr="00E77604">
        <w:t>но не ранее 0</w:t>
      </w:r>
      <w:r w:rsidR="00AF3711" w:rsidRPr="00AF3711">
        <w:t>9</w:t>
      </w:r>
      <w:r w:rsidR="00E77604" w:rsidRPr="00E77604">
        <w:t>.01.2023</w:t>
      </w:r>
      <w:r w:rsidR="00E77604">
        <w:t>,</w:t>
      </w:r>
      <w:r w:rsidR="00E77604" w:rsidRPr="00F32DB0">
        <w:t xml:space="preserve"> </w:t>
      </w:r>
      <w:r w:rsidRPr="00F32DB0">
        <w:t xml:space="preserve">до </w:t>
      </w:r>
      <w:r w:rsidRPr="009E2E42">
        <w:t>"</w:t>
      </w:r>
      <w:r w:rsidR="00285C0A">
        <w:t>30</w:t>
      </w:r>
      <w:r w:rsidRPr="009E2E42">
        <w:t xml:space="preserve">" </w:t>
      </w:r>
      <w:r w:rsidR="00285C0A">
        <w:t>сентября</w:t>
      </w:r>
      <w:r>
        <w:t xml:space="preserve"> 202</w:t>
      </w:r>
      <w:r w:rsidR="00285C0A">
        <w:t>3</w:t>
      </w:r>
      <w:r w:rsidRPr="009E2E42">
        <w:t xml:space="preserve"> года (включительно).</w:t>
      </w:r>
    </w:p>
    <w:p w:rsidR="00E342BD" w:rsidRPr="00F32DB0" w:rsidRDefault="00E342BD" w:rsidP="00E342BD">
      <w:pPr>
        <w:jc w:val="both"/>
      </w:pPr>
    </w:p>
    <w:p w:rsidR="00E342BD" w:rsidRPr="00F32DB0" w:rsidRDefault="00E342BD" w:rsidP="00E342BD">
      <w:pPr>
        <w:jc w:val="both"/>
      </w:pPr>
      <w:r w:rsidRPr="00F32DB0">
        <w:rPr>
          <w:b/>
        </w:rPr>
        <w:t>Место доставки Товара:</w:t>
      </w:r>
      <w:r w:rsidRPr="00F32DB0">
        <w:t xml:space="preserve"> Санкт-Петербург.</w:t>
      </w:r>
    </w:p>
    <w:p w:rsidR="00E342BD" w:rsidRPr="00F32DB0" w:rsidRDefault="00E342BD" w:rsidP="00E342BD">
      <w:pPr>
        <w:jc w:val="center"/>
        <w:rPr>
          <w:b/>
        </w:rPr>
      </w:pPr>
    </w:p>
    <w:p w:rsidR="00E342BD" w:rsidRPr="00F32DB0" w:rsidRDefault="00E342BD" w:rsidP="00E342BD">
      <w:pPr>
        <w:jc w:val="both"/>
      </w:pPr>
      <w:r w:rsidRPr="00F32DB0">
        <w:t>1. Поставщик обязан обеспечить поступление Товара по наименованию, в количестве и в сроки, определенные календарным планом:</w:t>
      </w:r>
    </w:p>
    <w:p w:rsidR="00E342BD" w:rsidRPr="00F32DB0" w:rsidRDefault="00E342BD" w:rsidP="00E342BD">
      <w:pPr>
        <w:autoSpaceDE w:val="0"/>
        <w:autoSpaceDN w:val="0"/>
        <w:adjustRightInd w:val="0"/>
        <w:jc w:val="both"/>
        <w:outlineLvl w:val="0"/>
      </w:pP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567"/>
        <w:gridCol w:w="2977"/>
        <w:gridCol w:w="5387"/>
        <w:gridCol w:w="1275"/>
      </w:tblGrid>
      <w:tr w:rsidR="00E342BD" w:rsidRPr="00FD0430" w:rsidTr="00FD0430">
        <w:trPr>
          <w:trHeight w:val="603"/>
        </w:trPr>
        <w:tc>
          <w:tcPr>
            <w:tcW w:w="567" w:type="dxa"/>
          </w:tcPr>
          <w:p w:rsidR="00E342BD" w:rsidRPr="00FD0430" w:rsidRDefault="00E342BD" w:rsidP="005C0E2E">
            <w:pPr>
              <w:autoSpaceDE w:val="0"/>
              <w:autoSpaceDN w:val="0"/>
              <w:adjustRightInd w:val="0"/>
              <w:jc w:val="center"/>
              <w:rPr>
                <w:sz w:val="22"/>
                <w:szCs w:val="22"/>
              </w:rPr>
            </w:pPr>
            <w:r w:rsidRPr="00FD0430">
              <w:rPr>
                <w:sz w:val="22"/>
                <w:szCs w:val="22"/>
              </w:rPr>
              <w:t>№ п/п</w:t>
            </w:r>
          </w:p>
        </w:tc>
        <w:tc>
          <w:tcPr>
            <w:tcW w:w="2977" w:type="dxa"/>
          </w:tcPr>
          <w:p w:rsidR="00E342BD" w:rsidRPr="00FD0430" w:rsidRDefault="00E342BD" w:rsidP="005C0E2E">
            <w:pPr>
              <w:autoSpaceDE w:val="0"/>
              <w:autoSpaceDN w:val="0"/>
              <w:adjustRightInd w:val="0"/>
              <w:jc w:val="center"/>
              <w:rPr>
                <w:sz w:val="22"/>
                <w:szCs w:val="22"/>
              </w:rPr>
            </w:pPr>
            <w:r w:rsidRPr="00FD0430">
              <w:rPr>
                <w:sz w:val="22"/>
                <w:szCs w:val="22"/>
              </w:rPr>
              <w:t>Наименование Товара</w:t>
            </w:r>
          </w:p>
        </w:tc>
        <w:tc>
          <w:tcPr>
            <w:tcW w:w="5387" w:type="dxa"/>
          </w:tcPr>
          <w:p w:rsidR="00E342BD" w:rsidRPr="00FD0430" w:rsidRDefault="00E342BD" w:rsidP="00285C0A">
            <w:pPr>
              <w:autoSpaceDE w:val="0"/>
              <w:autoSpaceDN w:val="0"/>
              <w:adjustRightInd w:val="0"/>
              <w:jc w:val="center"/>
              <w:rPr>
                <w:sz w:val="22"/>
                <w:szCs w:val="22"/>
              </w:rPr>
            </w:pPr>
            <w:r w:rsidRPr="00FD0430">
              <w:rPr>
                <w:sz w:val="22"/>
                <w:szCs w:val="22"/>
              </w:rPr>
              <w:t>Периоды поставки на 202</w:t>
            </w:r>
            <w:r w:rsidR="00285C0A" w:rsidRPr="00FD0430">
              <w:rPr>
                <w:sz w:val="22"/>
                <w:szCs w:val="22"/>
              </w:rPr>
              <w:t>3</w:t>
            </w:r>
            <w:r w:rsidRPr="00FD0430">
              <w:rPr>
                <w:sz w:val="22"/>
                <w:szCs w:val="22"/>
              </w:rPr>
              <w:t xml:space="preserve"> год</w:t>
            </w:r>
          </w:p>
        </w:tc>
        <w:tc>
          <w:tcPr>
            <w:tcW w:w="1275" w:type="dxa"/>
          </w:tcPr>
          <w:p w:rsidR="00E342BD" w:rsidRPr="00FD0430" w:rsidRDefault="00E342BD" w:rsidP="005C0E2E">
            <w:pPr>
              <w:autoSpaceDE w:val="0"/>
              <w:autoSpaceDN w:val="0"/>
              <w:adjustRightInd w:val="0"/>
              <w:jc w:val="center"/>
              <w:rPr>
                <w:sz w:val="22"/>
                <w:szCs w:val="22"/>
              </w:rPr>
            </w:pPr>
            <w:r w:rsidRPr="00FD0430">
              <w:rPr>
                <w:sz w:val="22"/>
                <w:szCs w:val="22"/>
              </w:rPr>
              <w:t>Количество (шт.)</w:t>
            </w:r>
          </w:p>
        </w:tc>
      </w:tr>
      <w:tr w:rsidR="00AF3711" w:rsidRPr="00FD0430" w:rsidTr="00FD0430">
        <w:trPr>
          <w:trHeight w:val="419"/>
        </w:trPr>
        <w:tc>
          <w:tcPr>
            <w:tcW w:w="567" w:type="dxa"/>
            <w:vMerge w:val="restart"/>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r w:rsidRPr="00FD0430">
              <w:rPr>
                <w:sz w:val="22"/>
                <w:szCs w:val="22"/>
              </w:rPr>
              <w:t>1.</w:t>
            </w:r>
          </w:p>
        </w:tc>
        <w:tc>
          <w:tcPr>
            <w:tcW w:w="2977" w:type="dxa"/>
            <w:vMerge w:val="restart"/>
            <w:shd w:val="clear" w:color="auto" w:fill="FFFFFF"/>
          </w:tcPr>
          <w:p w:rsidR="00AF3711" w:rsidRPr="00FD0430" w:rsidRDefault="00AF3711" w:rsidP="00AF3711">
            <w:pPr>
              <w:autoSpaceDE w:val="0"/>
              <w:autoSpaceDN w:val="0"/>
              <w:adjustRightInd w:val="0"/>
              <w:rPr>
                <w:sz w:val="22"/>
                <w:szCs w:val="22"/>
              </w:rPr>
            </w:pPr>
            <w:r w:rsidRPr="00FD0430">
              <w:rPr>
                <w:sz w:val="22"/>
                <w:szCs w:val="22"/>
              </w:rPr>
              <w:t>Впитывающие простыни (пеленки) размером не менее 40 x 60 см (</w:t>
            </w:r>
            <w:proofErr w:type="spellStart"/>
            <w:r w:rsidRPr="00FD0430">
              <w:rPr>
                <w:sz w:val="22"/>
                <w:szCs w:val="22"/>
              </w:rPr>
              <w:t>впитываемостью</w:t>
            </w:r>
            <w:proofErr w:type="spellEnd"/>
            <w:r w:rsidRPr="00FD0430">
              <w:rPr>
                <w:sz w:val="22"/>
                <w:szCs w:val="22"/>
              </w:rPr>
              <w:t xml:space="preserve"> от 400 до 500 мл)</w:t>
            </w:r>
          </w:p>
        </w:tc>
        <w:tc>
          <w:tcPr>
            <w:tcW w:w="5387" w:type="dxa"/>
            <w:shd w:val="clear" w:color="auto" w:fill="FFFFFF"/>
          </w:tcPr>
          <w:p w:rsidR="00AF3711" w:rsidRPr="00FD0430" w:rsidRDefault="00AF3711" w:rsidP="00AF3711">
            <w:pPr>
              <w:rPr>
                <w:sz w:val="22"/>
                <w:szCs w:val="22"/>
              </w:rPr>
            </w:pPr>
            <w:r w:rsidRPr="00FD0430">
              <w:rPr>
                <w:sz w:val="22"/>
                <w:szCs w:val="22"/>
              </w:rPr>
              <w:t xml:space="preserve">В течение 2 (двух) календарных дней с даты заключения государственного контракта </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1000</w:t>
            </w:r>
          </w:p>
        </w:tc>
      </w:tr>
      <w:tr w:rsidR="00AF3711" w:rsidRPr="00FD0430" w:rsidTr="00FD0430">
        <w:trPr>
          <w:trHeight w:val="443"/>
        </w:trPr>
        <w:tc>
          <w:tcPr>
            <w:tcW w:w="567" w:type="dxa"/>
            <w:vMerge/>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p>
        </w:tc>
        <w:tc>
          <w:tcPr>
            <w:tcW w:w="2977" w:type="dxa"/>
            <w:vMerge/>
            <w:shd w:val="clear" w:color="auto" w:fill="FFFFFF"/>
          </w:tcPr>
          <w:p w:rsidR="00AF3711" w:rsidRPr="00FD0430" w:rsidRDefault="00AF3711" w:rsidP="00AF3711">
            <w:pPr>
              <w:autoSpaceDE w:val="0"/>
              <w:autoSpaceDN w:val="0"/>
              <w:adjustRightInd w:val="0"/>
              <w:rPr>
                <w:sz w:val="22"/>
                <w:szCs w:val="22"/>
              </w:rPr>
            </w:pPr>
          </w:p>
        </w:tc>
        <w:tc>
          <w:tcPr>
            <w:tcW w:w="5387" w:type="dxa"/>
            <w:shd w:val="clear" w:color="auto" w:fill="FFFFFF"/>
          </w:tcPr>
          <w:p w:rsidR="00AF3711" w:rsidRPr="00FD0430" w:rsidRDefault="00AF3711" w:rsidP="00AF3711">
            <w:pPr>
              <w:rPr>
                <w:sz w:val="22"/>
                <w:szCs w:val="22"/>
              </w:rPr>
            </w:pPr>
            <w:r w:rsidRPr="00FD0430">
              <w:rPr>
                <w:sz w:val="22"/>
                <w:szCs w:val="22"/>
              </w:rPr>
              <w:t>В течение 15 (пятнадцати) календарных дней с даты заключения государственного контракта (но не ранее 13.01.2023)</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19 000</w:t>
            </w:r>
          </w:p>
        </w:tc>
      </w:tr>
      <w:tr w:rsidR="00AF3711" w:rsidRPr="00FD0430" w:rsidTr="00FD0430">
        <w:trPr>
          <w:trHeight w:val="75"/>
        </w:trPr>
        <w:tc>
          <w:tcPr>
            <w:tcW w:w="567" w:type="dxa"/>
            <w:vMerge w:val="restart"/>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r w:rsidRPr="00FD0430">
              <w:rPr>
                <w:sz w:val="22"/>
                <w:szCs w:val="22"/>
              </w:rPr>
              <w:t>2.</w:t>
            </w:r>
          </w:p>
        </w:tc>
        <w:tc>
          <w:tcPr>
            <w:tcW w:w="2977" w:type="dxa"/>
            <w:vMerge w:val="restart"/>
            <w:shd w:val="clear" w:color="auto" w:fill="FFFFFF"/>
          </w:tcPr>
          <w:p w:rsidR="00AF3711" w:rsidRPr="00FD0430" w:rsidRDefault="00AF3711" w:rsidP="00AF3711">
            <w:pPr>
              <w:autoSpaceDE w:val="0"/>
              <w:autoSpaceDN w:val="0"/>
              <w:adjustRightInd w:val="0"/>
              <w:rPr>
                <w:sz w:val="22"/>
                <w:szCs w:val="22"/>
              </w:rPr>
            </w:pPr>
            <w:r w:rsidRPr="00FD0430">
              <w:rPr>
                <w:sz w:val="22"/>
                <w:szCs w:val="22"/>
              </w:rPr>
              <w:t>Впитывающие простыни (пеленки) размером не менее 60 x 60 см (</w:t>
            </w:r>
            <w:proofErr w:type="spellStart"/>
            <w:r w:rsidRPr="00FD0430">
              <w:rPr>
                <w:sz w:val="22"/>
                <w:szCs w:val="22"/>
              </w:rPr>
              <w:t>впитываемостью</w:t>
            </w:r>
            <w:proofErr w:type="spellEnd"/>
            <w:r w:rsidRPr="00FD0430">
              <w:rPr>
                <w:sz w:val="22"/>
                <w:szCs w:val="22"/>
              </w:rPr>
              <w:t xml:space="preserve"> от 800 до 1200 мл)</w:t>
            </w:r>
          </w:p>
        </w:tc>
        <w:tc>
          <w:tcPr>
            <w:tcW w:w="5387" w:type="dxa"/>
            <w:shd w:val="clear" w:color="auto" w:fill="FFFFFF"/>
          </w:tcPr>
          <w:p w:rsidR="00AF3711" w:rsidRPr="00FD0430" w:rsidRDefault="00AF3711" w:rsidP="00AF3711">
            <w:pPr>
              <w:rPr>
                <w:sz w:val="22"/>
                <w:szCs w:val="22"/>
              </w:rPr>
            </w:pPr>
            <w:r w:rsidRPr="00FD0430">
              <w:rPr>
                <w:sz w:val="22"/>
                <w:szCs w:val="22"/>
              </w:rPr>
              <w:t>В течение 2 (двух) календарных дней с даты заключения государственного контракта</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10 752</w:t>
            </w:r>
          </w:p>
        </w:tc>
      </w:tr>
      <w:tr w:rsidR="00AF3711" w:rsidRPr="00FD0430" w:rsidTr="00FD0430">
        <w:trPr>
          <w:trHeight w:val="75"/>
        </w:trPr>
        <w:tc>
          <w:tcPr>
            <w:tcW w:w="567" w:type="dxa"/>
            <w:vMerge/>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p>
        </w:tc>
        <w:tc>
          <w:tcPr>
            <w:tcW w:w="2977" w:type="dxa"/>
            <w:vMerge/>
            <w:shd w:val="clear" w:color="auto" w:fill="FFFFFF"/>
          </w:tcPr>
          <w:p w:rsidR="00AF3711" w:rsidRPr="00FD0430" w:rsidRDefault="00AF3711" w:rsidP="00AF3711">
            <w:pPr>
              <w:autoSpaceDE w:val="0"/>
              <w:autoSpaceDN w:val="0"/>
              <w:adjustRightInd w:val="0"/>
              <w:rPr>
                <w:sz w:val="22"/>
                <w:szCs w:val="22"/>
              </w:rPr>
            </w:pPr>
          </w:p>
        </w:tc>
        <w:tc>
          <w:tcPr>
            <w:tcW w:w="5387" w:type="dxa"/>
            <w:shd w:val="clear" w:color="auto" w:fill="FFFFFF"/>
          </w:tcPr>
          <w:p w:rsidR="00AF3711" w:rsidRPr="00FD0430" w:rsidRDefault="00AF3711" w:rsidP="00AF3711">
            <w:pPr>
              <w:rPr>
                <w:sz w:val="22"/>
                <w:szCs w:val="22"/>
              </w:rPr>
            </w:pPr>
            <w:r w:rsidRPr="00FD0430">
              <w:rPr>
                <w:sz w:val="22"/>
                <w:szCs w:val="22"/>
              </w:rPr>
              <w:t>В течение 15 (пятнадцати) календарных дней с даты заключения государственного контракта</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96 768</w:t>
            </w:r>
          </w:p>
        </w:tc>
      </w:tr>
      <w:tr w:rsidR="00AF3711" w:rsidRPr="00FD0430" w:rsidTr="00FD0430">
        <w:trPr>
          <w:trHeight w:val="20"/>
        </w:trPr>
        <w:tc>
          <w:tcPr>
            <w:tcW w:w="567" w:type="dxa"/>
            <w:vMerge w:val="restart"/>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r w:rsidRPr="00FD0430">
              <w:rPr>
                <w:sz w:val="22"/>
                <w:szCs w:val="22"/>
              </w:rPr>
              <w:t>3.</w:t>
            </w:r>
          </w:p>
        </w:tc>
        <w:tc>
          <w:tcPr>
            <w:tcW w:w="2977" w:type="dxa"/>
            <w:vMerge w:val="restart"/>
            <w:shd w:val="clear" w:color="auto" w:fill="FFFFFF"/>
          </w:tcPr>
          <w:p w:rsidR="00AF3711" w:rsidRPr="00FD0430" w:rsidRDefault="00AF3711" w:rsidP="00AF3711">
            <w:pPr>
              <w:autoSpaceDE w:val="0"/>
              <w:autoSpaceDN w:val="0"/>
              <w:adjustRightInd w:val="0"/>
              <w:rPr>
                <w:sz w:val="22"/>
                <w:szCs w:val="22"/>
              </w:rPr>
            </w:pPr>
            <w:r w:rsidRPr="00FD0430">
              <w:rPr>
                <w:sz w:val="22"/>
                <w:szCs w:val="22"/>
              </w:rPr>
              <w:t>Впитывающие простыни (пеленки) размером не менее 60 x 90 см (</w:t>
            </w:r>
            <w:proofErr w:type="spellStart"/>
            <w:r w:rsidRPr="00FD0430">
              <w:rPr>
                <w:sz w:val="22"/>
                <w:szCs w:val="22"/>
              </w:rPr>
              <w:t>впитываемостью</w:t>
            </w:r>
            <w:proofErr w:type="spellEnd"/>
            <w:r w:rsidRPr="00FD0430">
              <w:rPr>
                <w:sz w:val="22"/>
                <w:szCs w:val="22"/>
              </w:rPr>
              <w:t xml:space="preserve"> от 1200 до 1900 мл)</w:t>
            </w:r>
          </w:p>
        </w:tc>
        <w:tc>
          <w:tcPr>
            <w:tcW w:w="5387" w:type="dxa"/>
            <w:shd w:val="clear" w:color="auto" w:fill="FFFFFF"/>
          </w:tcPr>
          <w:p w:rsidR="00AF3711" w:rsidRPr="00FD0430" w:rsidRDefault="00AF3711" w:rsidP="00AF3711">
            <w:pPr>
              <w:autoSpaceDE w:val="0"/>
              <w:autoSpaceDN w:val="0"/>
              <w:adjustRightInd w:val="0"/>
              <w:rPr>
                <w:sz w:val="22"/>
                <w:szCs w:val="22"/>
              </w:rPr>
            </w:pPr>
            <w:r w:rsidRPr="00FD0430">
              <w:rPr>
                <w:sz w:val="22"/>
                <w:szCs w:val="22"/>
              </w:rPr>
              <w:t>В течение 2 (двух) календарных дней с даты заключения государственного контракта</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184 270</w:t>
            </w:r>
          </w:p>
        </w:tc>
      </w:tr>
      <w:tr w:rsidR="00AF3711" w:rsidRPr="00FD0430" w:rsidTr="00FD0430">
        <w:trPr>
          <w:trHeight w:val="20"/>
        </w:trPr>
        <w:tc>
          <w:tcPr>
            <w:tcW w:w="567" w:type="dxa"/>
            <w:vMerge/>
            <w:shd w:val="clear" w:color="auto" w:fill="FFFFFF"/>
            <w:vAlign w:val="center"/>
          </w:tcPr>
          <w:p w:rsidR="00AF3711" w:rsidRPr="00FD0430" w:rsidRDefault="00AF3711" w:rsidP="00AF3711">
            <w:pPr>
              <w:tabs>
                <w:tab w:val="left" w:pos="720"/>
              </w:tabs>
              <w:autoSpaceDE w:val="0"/>
              <w:autoSpaceDN w:val="0"/>
              <w:adjustRightInd w:val="0"/>
              <w:ind w:left="1080" w:hanging="1000"/>
              <w:contextualSpacing/>
              <w:rPr>
                <w:sz w:val="22"/>
                <w:szCs w:val="22"/>
              </w:rPr>
            </w:pPr>
          </w:p>
        </w:tc>
        <w:tc>
          <w:tcPr>
            <w:tcW w:w="2977" w:type="dxa"/>
            <w:vMerge/>
            <w:shd w:val="clear" w:color="auto" w:fill="FFFFFF"/>
          </w:tcPr>
          <w:p w:rsidR="00AF3711" w:rsidRPr="00FD0430" w:rsidRDefault="00AF3711" w:rsidP="00AF3711">
            <w:pPr>
              <w:autoSpaceDE w:val="0"/>
              <w:autoSpaceDN w:val="0"/>
              <w:adjustRightInd w:val="0"/>
              <w:rPr>
                <w:sz w:val="22"/>
                <w:szCs w:val="22"/>
              </w:rPr>
            </w:pPr>
          </w:p>
        </w:tc>
        <w:tc>
          <w:tcPr>
            <w:tcW w:w="5387" w:type="dxa"/>
            <w:shd w:val="clear" w:color="auto" w:fill="FFFFFF"/>
          </w:tcPr>
          <w:p w:rsidR="00AF3711" w:rsidRPr="00FD0430" w:rsidRDefault="00AF3711" w:rsidP="00AF3711">
            <w:pPr>
              <w:autoSpaceDE w:val="0"/>
              <w:autoSpaceDN w:val="0"/>
              <w:adjustRightInd w:val="0"/>
              <w:rPr>
                <w:sz w:val="22"/>
                <w:szCs w:val="22"/>
              </w:rPr>
            </w:pPr>
            <w:r w:rsidRPr="00FD0430">
              <w:rPr>
                <w:sz w:val="22"/>
                <w:szCs w:val="22"/>
              </w:rPr>
              <w:t>В течение 15 (пятнадцати) календарных дней с даты заключения государственного контракта</w:t>
            </w:r>
          </w:p>
        </w:tc>
        <w:tc>
          <w:tcPr>
            <w:tcW w:w="1275" w:type="dxa"/>
            <w:shd w:val="clear" w:color="auto" w:fill="FFFFFF"/>
            <w:vAlign w:val="center"/>
          </w:tcPr>
          <w:p w:rsidR="00AF3711" w:rsidRPr="00AF3711" w:rsidRDefault="00AF3711" w:rsidP="00AF3711">
            <w:pPr>
              <w:autoSpaceDE w:val="0"/>
              <w:autoSpaceDN w:val="0"/>
              <w:adjustRightInd w:val="0"/>
              <w:jc w:val="center"/>
              <w:rPr>
                <w:sz w:val="22"/>
                <w:szCs w:val="22"/>
              </w:rPr>
            </w:pPr>
            <w:r w:rsidRPr="00AF3711">
              <w:rPr>
                <w:sz w:val="22"/>
                <w:szCs w:val="22"/>
              </w:rPr>
              <w:t>1 658 438</w:t>
            </w:r>
          </w:p>
        </w:tc>
      </w:tr>
      <w:tr w:rsidR="009308FA" w:rsidRPr="00FD0430" w:rsidTr="00FD0430">
        <w:trPr>
          <w:trHeight w:val="28"/>
        </w:trPr>
        <w:tc>
          <w:tcPr>
            <w:tcW w:w="8931" w:type="dxa"/>
            <w:gridSpan w:val="3"/>
          </w:tcPr>
          <w:p w:rsidR="009308FA" w:rsidRPr="00FD0430" w:rsidRDefault="009308FA" w:rsidP="009308FA">
            <w:pPr>
              <w:autoSpaceDE w:val="0"/>
              <w:autoSpaceDN w:val="0"/>
              <w:adjustRightInd w:val="0"/>
              <w:jc w:val="center"/>
              <w:rPr>
                <w:b/>
                <w:sz w:val="22"/>
                <w:szCs w:val="22"/>
              </w:rPr>
            </w:pPr>
            <w:r w:rsidRPr="00FD0430">
              <w:rPr>
                <w:b/>
                <w:sz w:val="22"/>
                <w:szCs w:val="22"/>
              </w:rPr>
              <w:t>ИТОГО:</w:t>
            </w:r>
          </w:p>
        </w:tc>
        <w:tc>
          <w:tcPr>
            <w:tcW w:w="1275" w:type="dxa"/>
          </w:tcPr>
          <w:p w:rsidR="009308FA" w:rsidRPr="00FD0430" w:rsidRDefault="00AF3711" w:rsidP="009308FA">
            <w:pPr>
              <w:autoSpaceDE w:val="0"/>
              <w:autoSpaceDN w:val="0"/>
              <w:adjustRightInd w:val="0"/>
              <w:jc w:val="center"/>
              <w:rPr>
                <w:b/>
                <w:sz w:val="22"/>
                <w:szCs w:val="22"/>
              </w:rPr>
            </w:pPr>
            <w:r w:rsidRPr="00AF3711">
              <w:rPr>
                <w:b/>
                <w:sz w:val="22"/>
                <w:szCs w:val="22"/>
              </w:rPr>
              <w:t>1 970 228</w:t>
            </w:r>
          </w:p>
        </w:tc>
      </w:tr>
    </w:tbl>
    <w:p w:rsidR="00E342BD" w:rsidRPr="00F32DB0" w:rsidRDefault="00E342BD" w:rsidP="00E342BD">
      <w:pPr>
        <w:jc w:val="both"/>
      </w:pPr>
    </w:p>
    <w:p w:rsidR="00E342BD" w:rsidRDefault="00E342BD" w:rsidP="00E342BD">
      <w:pPr>
        <w:jc w:val="both"/>
      </w:pPr>
      <w:r w:rsidRPr="00F32DB0">
        <w:t xml:space="preserve">2. </w:t>
      </w:r>
      <w:r w:rsidRPr="00383712">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E342BD" w:rsidRDefault="00E342BD" w:rsidP="00E342BD">
      <w:pPr>
        <w:jc w:val="both"/>
      </w:pPr>
    </w:p>
    <w:p w:rsidR="00E342BD" w:rsidRPr="001D27D1" w:rsidRDefault="001D27D1" w:rsidP="001D27D1">
      <w:pPr>
        <w:jc w:val="both"/>
      </w:pPr>
      <w:r>
        <w:t xml:space="preserve">3. </w:t>
      </w:r>
      <w:r w:rsidR="00E342BD" w:rsidRPr="001D27D1">
        <w:t>Товар должен отвечать следующим требованиям:</w:t>
      </w:r>
    </w:p>
    <w:p w:rsidR="00E342BD" w:rsidRPr="00F32DB0" w:rsidRDefault="00E342BD" w:rsidP="00E342BD">
      <w:pPr>
        <w:jc w:val="both"/>
      </w:pPr>
    </w:p>
    <w:tbl>
      <w:tblPr>
        <w:tblW w:w="529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9"/>
        <w:gridCol w:w="1971"/>
        <w:gridCol w:w="1519"/>
        <w:gridCol w:w="3228"/>
        <w:gridCol w:w="2351"/>
        <w:gridCol w:w="1229"/>
      </w:tblGrid>
      <w:tr w:rsidR="00FD0430" w:rsidRPr="00413CC3" w:rsidTr="00413CC3">
        <w:tc>
          <w:tcPr>
            <w:tcW w:w="173"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 п/п</w:t>
            </w:r>
          </w:p>
        </w:tc>
        <w:tc>
          <w:tcPr>
            <w:tcW w:w="924"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Наименование Товара</w:t>
            </w:r>
          </w:p>
        </w:tc>
        <w:tc>
          <w:tcPr>
            <w:tcW w:w="712"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Наименование Товара по КТРУ</w:t>
            </w:r>
          </w:p>
        </w:tc>
        <w:tc>
          <w:tcPr>
            <w:tcW w:w="1513"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Характеристика Товара</w:t>
            </w:r>
          </w:p>
        </w:tc>
        <w:tc>
          <w:tcPr>
            <w:tcW w:w="1102"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Показатель характеристики</w:t>
            </w:r>
          </w:p>
        </w:tc>
        <w:tc>
          <w:tcPr>
            <w:tcW w:w="576" w:type="pct"/>
            <w:shd w:val="clear" w:color="auto" w:fill="auto"/>
          </w:tcPr>
          <w:p w:rsidR="00FD0430" w:rsidRPr="00413CC3" w:rsidRDefault="00FD0430" w:rsidP="005C0E2E">
            <w:pPr>
              <w:widowControl w:val="0"/>
              <w:suppressAutoHyphens/>
              <w:jc w:val="center"/>
              <w:rPr>
                <w:sz w:val="22"/>
                <w:szCs w:val="22"/>
              </w:rPr>
            </w:pPr>
            <w:r w:rsidRPr="00413CC3">
              <w:rPr>
                <w:sz w:val="22"/>
                <w:szCs w:val="22"/>
              </w:rPr>
              <w:t>Количество (</w:t>
            </w:r>
            <w:proofErr w:type="spellStart"/>
            <w:r w:rsidRPr="00413CC3">
              <w:rPr>
                <w:sz w:val="22"/>
                <w:szCs w:val="22"/>
              </w:rPr>
              <w:t>шт</w:t>
            </w:r>
            <w:proofErr w:type="spellEnd"/>
            <w:r w:rsidRPr="00413CC3">
              <w:rPr>
                <w:sz w:val="22"/>
                <w:szCs w:val="22"/>
              </w:rPr>
              <w:t>)</w:t>
            </w:r>
          </w:p>
        </w:tc>
      </w:tr>
      <w:tr w:rsidR="00FD0430" w:rsidRPr="00413CC3" w:rsidTr="00413CC3">
        <w:tc>
          <w:tcPr>
            <w:tcW w:w="173"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r w:rsidRPr="00413CC3">
              <w:rPr>
                <w:sz w:val="22"/>
                <w:szCs w:val="22"/>
              </w:rPr>
              <w:t>1.</w:t>
            </w:r>
          </w:p>
        </w:tc>
        <w:tc>
          <w:tcPr>
            <w:tcW w:w="924"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r w:rsidRPr="00413CC3">
              <w:rPr>
                <w:sz w:val="22"/>
                <w:szCs w:val="22"/>
              </w:rPr>
              <w:t>Впитывающие простыни (пеленки) размером не менее 40 x 60 см (</w:t>
            </w:r>
            <w:proofErr w:type="spellStart"/>
            <w:r w:rsidRPr="00413CC3">
              <w:rPr>
                <w:sz w:val="22"/>
                <w:szCs w:val="22"/>
              </w:rPr>
              <w:t>впитываемостью</w:t>
            </w:r>
            <w:proofErr w:type="spellEnd"/>
            <w:r w:rsidRPr="00413CC3">
              <w:rPr>
                <w:sz w:val="22"/>
                <w:szCs w:val="22"/>
              </w:rPr>
              <w:t xml:space="preserve"> от 400 до 500 мл)</w:t>
            </w:r>
          </w:p>
          <w:p w:rsidR="00FD0430" w:rsidRPr="00413CC3" w:rsidRDefault="00FD0430" w:rsidP="009F20F8">
            <w:pPr>
              <w:widowControl w:val="0"/>
              <w:suppressAutoHyphens/>
              <w:jc w:val="center"/>
              <w:rPr>
                <w:sz w:val="22"/>
                <w:szCs w:val="22"/>
              </w:rPr>
            </w:pPr>
          </w:p>
          <w:p w:rsidR="00FD0430" w:rsidRPr="00413CC3" w:rsidRDefault="00FD0430" w:rsidP="00970F69">
            <w:pPr>
              <w:widowControl w:val="0"/>
              <w:suppressAutoHyphens/>
              <w:jc w:val="center"/>
              <w:rPr>
                <w:sz w:val="22"/>
                <w:szCs w:val="22"/>
              </w:rPr>
            </w:pPr>
          </w:p>
        </w:tc>
        <w:tc>
          <w:tcPr>
            <w:tcW w:w="712"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r w:rsidRPr="00413CC3">
              <w:rPr>
                <w:sz w:val="22"/>
                <w:szCs w:val="22"/>
              </w:rPr>
              <w:t>Пеленка впитывающая</w:t>
            </w: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rPr>
                <w:sz w:val="22"/>
                <w:szCs w:val="22"/>
              </w:rPr>
            </w:pPr>
            <w:r w:rsidRPr="00413CC3">
              <w:rPr>
                <w:sz w:val="22"/>
                <w:szCs w:val="22"/>
              </w:rPr>
              <w:t>Размер</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r w:rsidRPr="00413CC3">
              <w:rPr>
                <w:sz w:val="22"/>
                <w:szCs w:val="22"/>
              </w:rPr>
              <w:t xml:space="preserve">не менее </w:t>
            </w:r>
            <w:smartTag w:uri="urn:schemas-microsoft-com:office:smarttags" w:element="metricconverter">
              <w:smartTagPr>
                <w:attr w:name="ProductID" w:val="40 см"/>
              </w:smartTagPr>
              <w:r w:rsidRPr="00413CC3">
                <w:rPr>
                  <w:sz w:val="22"/>
                  <w:szCs w:val="22"/>
                </w:rPr>
                <w:t>40 см</w:t>
              </w:r>
            </w:smartTag>
            <w:r w:rsidRPr="00413CC3">
              <w:rPr>
                <w:sz w:val="22"/>
                <w:szCs w:val="22"/>
              </w:rPr>
              <w:t xml:space="preserve"> х </w:t>
            </w:r>
            <w:smartTag w:uri="urn:schemas-microsoft-com:office:smarttags" w:element="metricconverter">
              <w:smartTagPr>
                <w:attr w:name="ProductID" w:val="60 см"/>
              </w:smartTagPr>
              <w:r w:rsidRPr="00413CC3">
                <w:rPr>
                  <w:sz w:val="22"/>
                  <w:szCs w:val="22"/>
                </w:rPr>
                <w:t xml:space="preserve">60 см </w:t>
              </w:r>
            </w:smartTag>
            <w:r w:rsidRPr="00413CC3">
              <w:rPr>
                <w:sz w:val="22"/>
                <w:szCs w:val="22"/>
              </w:rPr>
              <w:t>(включительно)</w:t>
            </w:r>
          </w:p>
        </w:tc>
        <w:tc>
          <w:tcPr>
            <w:tcW w:w="576" w:type="pct"/>
            <w:vMerge w:val="restart"/>
            <w:tcBorders>
              <w:top w:val="single" w:sz="4" w:space="0" w:color="auto"/>
              <w:left w:val="single" w:sz="4" w:space="0" w:color="auto"/>
              <w:right w:val="single" w:sz="4" w:space="0" w:color="auto"/>
            </w:tcBorders>
            <w:shd w:val="clear" w:color="auto" w:fill="auto"/>
          </w:tcPr>
          <w:p w:rsidR="00FD0430" w:rsidRPr="00413CC3" w:rsidRDefault="00AF3711" w:rsidP="00755907">
            <w:pPr>
              <w:widowControl w:val="0"/>
              <w:suppressAutoHyphens/>
              <w:jc w:val="center"/>
              <w:rPr>
                <w:sz w:val="22"/>
                <w:szCs w:val="22"/>
              </w:rPr>
            </w:pPr>
            <w:r w:rsidRPr="00AF3711">
              <w:rPr>
                <w:sz w:val="22"/>
                <w:szCs w:val="22"/>
              </w:rPr>
              <w:t>20 000</w:t>
            </w: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rPr>
                <w:sz w:val="22"/>
                <w:szCs w:val="22"/>
              </w:rPr>
            </w:pPr>
            <w:r w:rsidRPr="00413CC3">
              <w:rPr>
                <w:sz w:val="22"/>
                <w:szCs w:val="22"/>
              </w:rPr>
              <w:t>Общая впитывающая способность каждого из Изделий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r w:rsidRPr="00413CC3">
              <w:rPr>
                <w:sz w:val="22"/>
                <w:szCs w:val="22"/>
              </w:rPr>
              <w:t>от 400 мл до 500 мл (включительно)</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rPr>
                <w:sz w:val="22"/>
                <w:szCs w:val="22"/>
              </w:rPr>
            </w:pPr>
            <w:r w:rsidRPr="00413CC3">
              <w:rPr>
                <w:sz w:val="22"/>
                <w:szCs w:val="22"/>
              </w:rPr>
              <w:t>Впитывающий слой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rPr>
                <w:sz w:val="22"/>
                <w:szCs w:val="22"/>
              </w:rPr>
            </w:pPr>
            <w:r w:rsidRPr="00413CC3">
              <w:rPr>
                <w:sz w:val="22"/>
                <w:szCs w:val="22"/>
              </w:rPr>
              <w:t>Нижний слой - не пропускающий влагу, не скользящий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r>
      <w:tr w:rsidR="00FD0430" w:rsidRPr="00413CC3" w:rsidTr="00413CC3">
        <w:tc>
          <w:tcPr>
            <w:tcW w:w="173" w:type="pct"/>
            <w:vMerge/>
            <w:tcBorders>
              <w:left w:val="single" w:sz="4" w:space="0" w:color="auto"/>
              <w:bottom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bottom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712" w:type="pct"/>
            <w:vMerge/>
            <w:tcBorders>
              <w:left w:val="single" w:sz="4" w:space="0" w:color="auto"/>
              <w:bottom w:val="single" w:sz="4" w:space="0" w:color="auto"/>
              <w:right w:val="single" w:sz="4" w:space="0" w:color="auto"/>
            </w:tcBorders>
            <w:shd w:val="clear" w:color="auto" w:fill="auto"/>
          </w:tcPr>
          <w:p w:rsidR="00FD0430" w:rsidRPr="00413CC3" w:rsidRDefault="00FD0430" w:rsidP="009F20F8">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rPr>
                <w:sz w:val="22"/>
                <w:szCs w:val="22"/>
              </w:rPr>
            </w:pPr>
            <w:r w:rsidRPr="00413CC3">
              <w:rPr>
                <w:sz w:val="22"/>
                <w:szCs w:val="22"/>
              </w:rPr>
              <w:t>Верхний слой из мягкого не раздражающего кожу материала</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r w:rsidRPr="00413CC3">
              <w:rPr>
                <w:sz w:val="22"/>
                <w:szCs w:val="22"/>
              </w:rPr>
              <w:t>наличие</w:t>
            </w:r>
          </w:p>
        </w:tc>
        <w:tc>
          <w:tcPr>
            <w:tcW w:w="576" w:type="pct"/>
            <w:vMerge/>
            <w:tcBorders>
              <w:left w:val="single" w:sz="4" w:space="0" w:color="auto"/>
              <w:bottom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r>
      <w:tr w:rsidR="00FD0430" w:rsidRPr="00413CC3" w:rsidTr="00413CC3">
        <w:tc>
          <w:tcPr>
            <w:tcW w:w="173"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jc w:val="center"/>
              <w:rPr>
                <w:sz w:val="22"/>
                <w:szCs w:val="22"/>
              </w:rPr>
            </w:pPr>
            <w:r w:rsidRPr="00413CC3">
              <w:rPr>
                <w:sz w:val="22"/>
                <w:szCs w:val="22"/>
              </w:rPr>
              <w:t>2.</w:t>
            </w:r>
          </w:p>
        </w:tc>
        <w:tc>
          <w:tcPr>
            <w:tcW w:w="924"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970F69">
            <w:pPr>
              <w:widowControl w:val="0"/>
              <w:suppressAutoHyphens/>
              <w:jc w:val="center"/>
              <w:rPr>
                <w:sz w:val="22"/>
                <w:szCs w:val="22"/>
              </w:rPr>
            </w:pPr>
            <w:r w:rsidRPr="00413CC3">
              <w:rPr>
                <w:sz w:val="22"/>
                <w:szCs w:val="22"/>
              </w:rPr>
              <w:t>Впитывающие простыни (пеленки) размером не менее 60 x 60 см (</w:t>
            </w:r>
            <w:proofErr w:type="spellStart"/>
            <w:r w:rsidRPr="00413CC3">
              <w:rPr>
                <w:sz w:val="22"/>
                <w:szCs w:val="22"/>
              </w:rPr>
              <w:t>впитываемостью</w:t>
            </w:r>
            <w:proofErr w:type="spellEnd"/>
            <w:r w:rsidRPr="00413CC3">
              <w:rPr>
                <w:sz w:val="22"/>
                <w:szCs w:val="22"/>
              </w:rPr>
              <w:t xml:space="preserve"> от 800 до 1200 мл)</w:t>
            </w:r>
          </w:p>
          <w:p w:rsidR="00FD0430" w:rsidRPr="00413CC3" w:rsidRDefault="00FD0430" w:rsidP="00970F69">
            <w:pPr>
              <w:widowControl w:val="0"/>
              <w:suppressAutoHyphens/>
              <w:jc w:val="center"/>
              <w:rPr>
                <w:sz w:val="22"/>
                <w:szCs w:val="22"/>
              </w:rPr>
            </w:pPr>
          </w:p>
          <w:p w:rsidR="00FD0430" w:rsidRPr="00413CC3" w:rsidRDefault="00FD0430" w:rsidP="00970F69">
            <w:pPr>
              <w:widowControl w:val="0"/>
              <w:suppressAutoHyphens/>
              <w:jc w:val="center"/>
              <w:rPr>
                <w:color w:val="FF0000"/>
                <w:sz w:val="22"/>
                <w:szCs w:val="22"/>
              </w:rPr>
            </w:pPr>
          </w:p>
        </w:tc>
        <w:tc>
          <w:tcPr>
            <w:tcW w:w="712"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Пеленка впитывающая</w:t>
            </w: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5C0E2E">
            <w:pPr>
              <w:widowControl w:val="0"/>
              <w:suppressAutoHyphens/>
              <w:rPr>
                <w:color w:val="FF0000"/>
                <w:sz w:val="22"/>
                <w:szCs w:val="22"/>
              </w:rPr>
            </w:pPr>
            <w:r w:rsidRPr="00413CC3">
              <w:rPr>
                <w:sz w:val="22"/>
                <w:szCs w:val="22"/>
              </w:rPr>
              <w:t>Размер</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snapToGrid w:val="0"/>
              <w:jc w:val="center"/>
              <w:rPr>
                <w:sz w:val="22"/>
                <w:szCs w:val="22"/>
              </w:rPr>
            </w:pPr>
            <w:r w:rsidRPr="00413CC3">
              <w:rPr>
                <w:sz w:val="22"/>
                <w:szCs w:val="22"/>
              </w:rPr>
              <w:t xml:space="preserve">не менее </w:t>
            </w:r>
            <w:smartTag w:uri="urn:schemas-microsoft-com:office:smarttags" w:element="metricconverter">
              <w:smartTagPr>
                <w:attr w:name="ProductID" w:val="60 см"/>
              </w:smartTagPr>
              <w:r w:rsidRPr="00413CC3">
                <w:rPr>
                  <w:sz w:val="22"/>
                  <w:szCs w:val="22"/>
                </w:rPr>
                <w:t>60 см</w:t>
              </w:r>
            </w:smartTag>
            <w:r w:rsidRPr="00413CC3">
              <w:rPr>
                <w:sz w:val="22"/>
                <w:szCs w:val="22"/>
              </w:rPr>
              <w:t xml:space="preserve"> х </w:t>
            </w:r>
            <w:smartTag w:uri="urn:schemas-microsoft-com:office:smarttags" w:element="metricconverter">
              <w:smartTagPr>
                <w:attr w:name="ProductID" w:val="60 см"/>
              </w:smartTagPr>
              <w:r w:rsidRPr="00413CC3">
                <w:rPr>
                  <w:sz w:val="22"/>
                  <w:szCs w:val="22"/>
                </w:rPr>
                <w:t xml:space="preserve">60 см </w:t>
              </w:r>
            </w:smartTag>
            <w:r w:rsidRPr="00413CC3">
              <w:rPr>
                <w:sz w:val="22"/>
                <w:szCs w:val="22"/>
              </w:rPr>
              <w:t>(включительно)</w:t>
            </w:r>
          </w:p>
        </w:tc>
        <w:tc>
          <w:tcPr>
            <w:tcW w:w="576" w:type="pct"/>
            <w:vMerge w:val="restart"/>
            <w:tcBorders>
              <w:top w:val="single" w:sz="4" w:space="0" w:color="auto"/>
              <w:left w:val="single" w:sz="4" w:space="0" w:color="auto"/>
              <w:right w:val="single" w:sz="4" w:space="0" w:color="auto"/>
            </w:tcBorders>
            <w:shd w:val="clear" w:color="auto" w:fill="auto"/>
          </w:tcPr>
          <w:p w:rsidR="00FD0430" w:rsidRPr="00413CC3" w:rsidRDefault="00AF3711" w:rsidP="005C0E2E">
            <w:pPr>
              <w:widowControl w:val="0"/>
              <w:suppressAutoHyphens/>
              <w:jc w:val="center"/>
              <w:rPr>
                <w:sz w:val="22"/>
                <w:szCs w:val="22"/>
              </w:rPr>
            </w:pPr>
            <w:r w:rsidRPr="00AF3711">
              <w:rPr>
                <w:sz w:val="22"/>
                <w:szCs w:val="22"/>
              </w:rPr>
              <w:t>107 520</w:t>
            </w:r>
          </w:p>
        </w:tc>
      </w:tr>
      <w:tr w:rsidR="00FD0430" w:rsidRPr="00413CC3" w:rsidTr="00413CC3">
        <w:tc>
          <w:tcPr>
            <w:tcW w:w="173"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jc w:val="center"/>
              <w:rPr>
                <w:sz w:val="22"/>
                <w:szCs w:val="22"/>
              </w:rPr>
            </w:pPr>
          </w:p>
        </w:tc>
        <w:tc>
          <w:tcPr>
            <w:tcW w:w="924"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5C0E2E">
            <w:pPr>
              <w:widowControl w:val="0"/>
              <w:suppressAutoHyphens/>
              <w:rPr>
                <w:color w:val="FF0000"/>
                <w:sz w:val="22"/>
                <w:szCs w:val="22"/>
              </w:rPr>
            </w:pPr>
            <w:r w:rsidRPr="00413CC3">
              <w:rPr>
                <w:sz w:val="22"/>
                <w:szCs w:val="22"/>
              </w:rPr>
              <w:t>Общая впитывающая способность каждого из Изделий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от 800 мл до 1200 мл (включительно)</w:t>
            </w:r>
          </w:p>
        </w:tc>
        <w:tc>
          <w:tcPr>
            <w:tcW w:w="576"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jc w:val="center"/>
              <w:rPr>
                <w:color w:val="FF0000"/>
                <w:sz w:val="22"/>
                <w:szCs w:val="22"/>
              </w:rPr>
            </w:pPr>
          </w:p>
        </w:tc>
      </w:tr>
      <w:tr w:rsidR="00FD0430" w:rsidRPr="00413CC3" w:rsidTr="00413CC3">
        <w:tc>
          <w:tcPr>
            <w:tcW w:w="173"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jc w:val="center"/>
              <w:rPr>
                <w:sz w:val="22"/>
                <w:szCs w:val="22"/>
              </w:rPr>
            </w:pPr>
          </w:p>
        </w:tc>
        <w:tc>
          <w:tcPr>
            <w:tcW w:w="924"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5C0E2E">
            <w:pPr>
              <w:widowControl w:val="0"/>
              <w:suppressAutoHyphens/>
              <w:rPr>
                <w:color w:val="FF0000"/>
                <w:sz w:val="22"/>
                <w:szCs w:val="22"/>
              </w:rPr>
            </w:pPr>
            <w:r w:rsidRPr="00413CC3">
              <w:rPr>
                <w:sz w:val="22"/>
                <w:szCs w:val="22"/>
              </w:rPr>
              <w:t>Впитывающий слой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jc w:val="center"/>
              <w:rPr>
                <w:color w:val="FF0000"/>
                <w:sz w:val="22"/>
                <w:szCs w:val="22"/>
              </w:rPr>
            </w:pPr>
          </w:p>
        </w:tc>
      </w:tr>
      <w:tr w:rsidR="00FD0430" w:rsidRPr="00413CC3" w:rsidTr="00413CC3">
        <w:tc>
          <w:tcPr>
            <w:tcW w:w="173"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jc w:val="center"/>
              <w:rPr>
                <w:sz w:val="22"/>
                <w:szCs w:val="22"/>
              </w:rPr>
            </w:pPr>
          </w:p>
        </w:tc>
        <w:tc>
          <w:tcPr>
            <w:tcW w:w="924" w:type="pct"/>
            <w:vMerge/>
            <w:tcBorders>
              <w:top w:val="single" w:sz="4" w:space="0" w:color="auto"/>
              <w:left w:val="single" w:sz="4" w:space="0" w:color="auto"/>
              <w:right w:val="single" w:sz="4" w:space="0" w:color="auto"/>
            </w:tcBorders>
            <w:shd w:val="clear" w:color="auto" w:fill="auto"/>
          </w:tcPr>
          <w:p w:rsidR="00FD0430" w:rsidRPr="00413CC3" w:rsidRDefault="00FD0430" w:rsidP="005C0E2E">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5C0E2E">
            <w:pPr>
              <w:widowControl w:val="0"/>
              <w:suppressAutoHyphens/>
              <w:rPr>
                <w:color w:val="FF0000"/>
                <w:sz w:val="22"/>
                <w:szCs w:val="22"/>
              </w:rPr>
            </w:pPr>
            <w:r w:rsidRPr="00413CC3">
              <w:rPr>
                <w:sz w:val="22"/>
                <w:szCs w:val="22"/>
              </w:rPr>
              <w:t>Нижний слой - не пропускающий влагу, не скользящий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jc w:val="center"/>
              <w:rPr>
                <w:color w:val="FF0000"/>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FD0430">
            <w:pPr>
              <w:widowControl w:val="0"/>
              <w:suppressAutoHyphens/>
              <w:jc w:val="center"/>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5C0E2E">
            <w:pPr>
              <w:widowControl w:val="0"/>
              <w:suppressAutoHyphens/>
              <w:rPr>
                <w:color w:val="FF0000"/>
                <w:sz w:val="22"/>
                <w:szCs w:val="22"/>
              </w:rPr>
            </w:pPr>
            <w:r w:rsidRPr="00413CC3">
              <w:rPr>
                <w:sz w:val="22"/>
                <w:szCs w:val="22"/>
              </w:rPr>
              <w:t>Верхний слой из мягкого не раздражающего кожу материала</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5C0E2E">
            <w:pPr>
              <w:widowControl w:val="0"/>
              <w:suppressAutoHyphens/>
              <w:jc w:val="center"/>
              <w:rPr>
                <w:color w:val="FF0000"/>
                <w:sz w:val="22"/>
                <w:szCs w:val="22"/>
              </w:rPr>
            </w:pPr>
          </w:p>
        </w:tc>
      </w:tr>
      <w:tr w:rsidR="00FD0430" w:rsidRPr="00413CC3" w:rsidTr="00413CC3">
        <w:tc>
          <w:tcPr>
            <w:tcW w:w="173"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r w:rsidRPr="00413CC3">
              <w:rPr>
                <w:sz w:val="22"/>
                <w:szCs w:val="22"/>
              </w:rPr>
              <w:t>3.</w:t>
            </w:r>
          </w:p>
        </w:tc>
        <w:tc>
          <w:tcPr>
            <w:tcW w:w="924"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970F69">
            <w:pPr>
              <w:widowControl w:val="0"/>
              <w:suppressAutoHyphens/>
              <w:jc w:val="center"/>
              <w:rPr>
                <w:sz w:val="22"/>
                <w:szCs w:val="22"/>
              </w:rPr>
            </w:pPr>
            <w:r w:rsidRPr="00413CC3">
              <w:rPr>
                <w:sz w:val="22"/>
                <w:szCs w:val="22"/>
              </w:rPr>
              <w:t>Впитывающие простыни (пеленки) размером не менее 60 x 90 см (</w:t>
            </w:r>
            <w:proofErr w:type="spellStart"/>
            <w:r w:rsidRPr="00413CC3">
              <w:rPr>
                <w:sz w:val="22"/>
                <w:szCs w:val="22"/>
              </w:rPr>
              <w:t>впитываемостью</w:t>
            </w:r>
            <w:proofErr w:type="spellEnd"/>
            <w:r w:rsidRPr="00413CC3">
              <w:rPr>
                <w:sz w:val="22"/>
                <w:szCs w:val="22"/>
              </w:rPr>
              <w:t xml:space="preserve"> от 1200 до 1900 мл)</w:t>
            </w:r>
          </w:p>
          <w:p w:rsidR="00FD0430" w:rsidRPr="00413CC3" w:rsidRDefault="00FD0430" w:rsidP="00970F69">
            <w:pPr>
              <w:widowControl w:val="0"/>
              <w:suppressAutoHyphens/>
              <w:jc w:val="center"/>
              <w:rPr>
                <w:sz w:val="22"/>
                <w:szCs w:val="22"/>
              </w:rPr>
            </w:pPr>
          </w:p>
          <w:p w:rsidR="00FD0430" w:rsidRPr="00413CC3" w:rsidRDefault="00FD0430" w:rsidP="00970F69">
            <w:pPr>
              <w:widowControl w:val="0"/>
              <w:suppressAutoHyphens/>
              <w:jc w:val="center"/>
              <w:rPr>
                <w:color w:val="FF0000"/>
                <w:sz w:val="22"/>
                <w:szCs w:val="22"/>
              </w:rPr>
            </w:pPr>
          </w:p>
        </w:tc>
        <w:tc>
          <w:tcPr>
            <w:tcW w:w="712" w:type="pct"/>
            <w:vMerge w:val="restart"/>
            <w:tcBorders>
              <w:top w:val="single" w:sz="4" w:space="0" w:color="auto"/>
              <w:left w:val="single" w:sz="4" w:space="0" w:color="auto"/>
              <w:right w:val="single" w:sz="4" w:space="0" w:color="auto"/>
            </w:tcBorders>
            <w:shd w:val="clear" w:color="auto" w:fill="auto"/>
          </w:tcPr>
          <w:p w:rsidR="00FD0430" w:rsidRPr="00413CC3" w:rsidRDefault="00FD0430" w:rsidP="00FD0430">
            <w:pPr>
              <w:widowControl w:val="0"/>
              <w:suppressAutoHyphens/>
              <w:jc w:val="center"/>
              <w:rPr>
                <w:color w:val="FF0000"/>
                <w:sz w:val="22"/>
                <w:szCs w:val="22"/>
              </w:rPr>
            </w:pPr>
            <w:r w:rsidRPr="00413CC3">
              <w:rPr>
                <w:sz w:val="22"/>
                <w:szCs w:val="22"/>
              </w:rPr>
              <w:t>Пеленка впитывающая</w:t>
            </w: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755907">
            <w:pPr>
              <w:snapToGrid w:val="0"/>
              <w:rPr>
                <w:sz w:val="22"/>
                <w:szCs w:val="22"/>
              </w:rPr>
            </w:pPr>
            <w:r w:rsidRPr="00413CC3">
              <w:rPr>
                <w:sz w:val="22"/>
                <w:szCs w:val="22"/>
              </w:rPr>
              <w:t>Размер</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snapToGrid w:val="0"/>
              <w:jc w:val="center"/>
              <w:rPr>
                <w:sz w:val="22"/>
                <w:szCs w:val="22"/>
              </w:rPr>
            </w:pPr>
            <w:r w:rsidRPr="00413CC3">
              <w:rPr>
                <w:sz w:val="22"/>
                <w:szCs w:val="22"/>
              </w:rPr>
              <w:t xml:space="preserve">не менее </w:t>
            </w:r>
            <w:smartTag w:uri="urn:schemas-microsoft-com:office:smarttags" w:element="metricconverter">
              <w:smartTagPr>
                <w:attr w:name="ProductID" w:val="60 см"/>
              </w:smartTagPr>
              <w:r w:rsidRPr="00413CC3">
                <w:rPr>
                  <w:sz w:val="22"/>
                  <w:szCs w:val="22"/>
                </w:rPr>
                <w:t>60 см</w:t>
              </w:r>
            </w:smartTag>
            <w:r w:rsidRPr="00413CC3">
              <w:rPr>
                <w:sz w:val="22"/>
                <w:szCs w:val="22"/>
              </w:rPr>
              <w:t xml:space="preserve"> х 90 см (включительно)</w:t>
            </w:r>
          </w:p>
        </w:tc>
        <w:tc>
          <w:tcPr>
            <w:tcW w:w="576" w:type="pct"/>
            <w:vMerge w:val="restart"/>
            <w:tcBorders>
              <w:top w:val="single" w:sz="4" w:space="0" w:color="auto"/>
              <w:left w:val="single" w:sz="4" w:space="0" w:color="auto"/>
              <w:right w:val="single" w:sz="4" w:space="0" w:color="auto"/>
            </w:tcBorders>
            <w:shd w:val="clear" w:color="auto" w:fill="auto"/>
          </w:tcPr>
          <w:p w:rsidR="00FD0430" w:rsidRPr="00413CC3" w:rsidRDefault="00AF3711" w:rsidP="00755907">
            <w:pPr>
              <w:widowControl w:val="0"/>
              <w:suppressAutoHyphens/>
              <w:jc w:val="center"/>
              <w:rPr>
                <w:color w:val="FF0000"/>
                <w:sz w:val="22"/>
                <w:szCs w:val="22"/>
              </w:rPr>
            </w:pPr>
            <w:r w:rsidRPr="00AF3711">
              <w:rPr>
                <w:sz w:val="22"/>
                <w:szCs w:val="22"/>
              </w:rPr>
              <w:t>1 842 708</w:t>
            </w:r>
          </w:p>
        </w:tc>
      </w:tr>
      <w:tr w:rsidR="00FD0430" w:rsidRPr="00413CC3" w:rsidTr="00413CC3">
        <w:tc>
          <w:tcPr>
            <w:tcW w:w="173" w:type="pct"/>
            <w:vMerge/>
            <w:tcBorders>
              <w:top w:val="single" w:sz="4" w:space="0" w:color="auto"/>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top w:val="single" w:sz="4" w:space="0" w:color="auto"/>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712" w:type="pct"/>
            <w:vMerge/>
            <w:tcBorders>
              <w:top w:val="single" w:sz="4" w:space="0" w:color="auto"/>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755907">
            <w:pPr>
              <w:snapToGrid w:val="0"/>
              <w:rPr>
                <w:sz w:val="22"/>
                <w:szCs w:val="22"/>
              </w:rPr>
            </w:pPr>
            <w:r w:rsidRPr="00413CC3">
              <w:rPr>
                <w:sz w:val="22"/>
                <w:szCs w:val="22"/>
              </w:rPr>
              <w:t>Общая впитывающая способность каждого из Изделий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jc w:val="center"/>
              <w:rPr>
                <w:sz w:val="22"/>
                <w:szCs w:val="22"/>
              </w:rPr>
            </w:pPr>
            <w:r w:rsidRPr="00413CC3">
              <w:rPr>
                <w:sz w:val="22"/>
                <w:szCs w:val="22"/>
              </w:rPr>
              <w:t>от 1200 мл</w:t>
            </w:r>
          </w:p>
          <w:p w:rsidR="00FD0430" w:rsidRPr="00413CC3" w:rsidRDefault="00FD0430" w:rsidP="00FD0430">
            <w:pPr>
              <w:snapToGrid w:val="0"/>
              <w:jc w:val="center"/>
              <w:rPr>
                <w:sz w:val="22"/>
                <w:szCs w:val="22"/>
              </w:rPr>
            </w:pPr>
            <w:r w:rsidRPr="00413CC3">
              <w:rPr>
                <w:sz w:val="22"/>
                <w:szCs w:val="22"/>
              </w:rPr>
              <w:t>до 1900 мл (включительно)</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color w:val="FF0000"/>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755907">
            <w:pPr>
              <w:snapToGrid w:val="0"/>
              <w:rPr>
                <w:sz w:val="22"/>
                <w:szCs w:val="22"/>
              </w:rPr>
            </w:pPr>
            <w:r w:rsidRPr="00413CC3">
              <w:rPr>
                <w:sz w:val="22"/>
                <w:szCs w:val="22"/>
              </w:rPr>
              <w:t>Впитывающий слой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snapToGrid w:val="0"/>
              <w:jc w:val="center"/>
              <w:rPr>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color w:val="FF0000"/>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755907">
            <w:pPr>
              <w:snapToGrid w:val="0"/>
              <w:rPr>
                <w:sz w:val="22"/>
                <w:szCs w:val="22"/>
              </w:rPr>
            </w:pPr>
            <w:r w:rsidRPr="00413CC3">
              <w:rPr>
                <w:sz w:val="22"/>
                <w:szCs w:val="22"/>
              </w:rPr>
              <w:t>Нижний слой - не пропускающий влагу, не скользящий</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snapToGrid w:val="0"/>
              <w:jc w:val="center"/>
              <w:rPr>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color w:val="FF0000"/>
                <w:sz w:val="22"/>
                <w:szCs w:val="22"/>
              </w:rPr>
            </w:pPr>
          </w:p>
        </w:tc>
      </w:tr>
      <w:tr w:rsidR="00FD0430" w:rsidRPr="00413CC3" w:rsidTr="00413CC3">
        <w:tc>
          <w:tcPr>
            <w:tcW w:w="173"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sz w:val="22"/>
                <w:szCs w:val="22"/>
              </w:rPr>
            </w:pPr>
          </w:p>
        </w:tc>
        <w:tc>
          <w:tcPr>
            <w:tcW w:w="924"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712"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rPr>
                <w:sz w:val="22"/>
                <w:szCs w:val="22"/>
              </w:rPr>
            </w:pPr>
          </w:p>
        </w:tc>
        <w:tc>
          <w:tcPr>
            <w:tcW w:w="1513"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755907">
            <w:pPr>
              <w:snapToGrid w:val="0"/>
              <w:rPr>
                <w:sz w:val="22"/>
                <w:szCs w:val="22"/>
              </w:rPr>
            </w:pPr>
            <w:r w:rsidRPr="00413CC3">
              <w:rPr>
                <w:sz w:val="22"/>
                <w:szCs w:val="22"/>
              </w:rPr>
              <w:t>Верхний слой из мягкого не раздражающего кожу материала</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FD0430" w:rsidRPr="00413CC3" w:rsidRDefault="00FD0430" w:rsidP="00FD0430">
            <w:pPr>
              <w:snapToGrid w:val="0"/>
              <w:jc w:val="center"/>
              <w:rPr>
                <w:sz w:val="22"/>
                <w:szCs w:val="22"/>
              </w:rPr>
            </w:pPr>
            <w:r w:rsidRPr="00413CC3">
              <w:rPr>
                <w:sz w:val="22"/>
                <w:szCs w:val="22"/>
              </w:rPr>
              <w:t>наличие</w:t>
            </w:r>
          </w:p>
        </w:tc>
        <w:tc>
          <w:tcPr>
            <w:tcW w:w="576" w:type="pct"/>
            <w:vMerge/>
            <w:tcBorders>
              <w:left w:val="single" w:sz="4" w:space="0" w:color="auto"/>
              <w:right w:val="single" w:sz="4" w:space="0" w:color="auto"/>
            </w:tcBorders>
            <w:shd w:val="clear" w:color="auto" w:fill="auto"/>
          </w:tcPr>
          <w:p w:rsidR="00FD0430" w:rsidRPr="00413CC3" w:rsidRDefault="00FD0430" w:rsidP="00755907">
            <w:pPr>
              <w:widowControl w:val="0"/>
              <w:suppressAutoHyphens/>
              <w:jc w:val="center"/>
              <w:rPr>
                <w:color w:val="FF0000"/>
                <w:sz w:val="22"/>
                <w:szCs w:val="22"/>
              </w:rPr>
            </w:pPr>
          </w:p>
        </w:tc>
      </w:tr>
      <w:tr w:rsidR="00FD0430" w:rsidRPr="00413CC3" w:rsidTr="00413CC3">
        <w:tc>
          <w:tcPr>
            <w:tcW w:w="4424" w:type="pct"/>
            <w:gridSpan w:val="5"/>
            <w:tcBorders>
              <w:left w:val="single" w:sz="4" w:space="0" w:color="auto"/>
              <w:right w:val="single" w:sz="4" w:space="0" w:color="auto"/>
            </w:tcBorders>
            <w:shd w:val="clear" w:color="auto" w:fill="auto"/>
          </w:tcPr>
          <w:p w:rsidR="00FD0430" w:rsidRPr="00413CC3" w:rsidRDefault="00FD0430" w:rsidP="00FD0430">
            <w:pPr>
              <w:snapToGrid w:val="0"/>
              <w:ind w:right="256"/>
              <w:jc w:val="right"/>
              <w:rPr>
                <w:sz w:val="22"/>
                <w:szCs w:val="22"/>
              </w:rPr>
            </w:pPr>
            <w:r w:rsidRPr="00413CC3">
              <w:rPr>
                <w:sz w:val="22"/>
                <w:szCs w:val="22"/>
              </w:rPr>
              <w:t>ИТОГО:</w:t>
            </w:r>
          </w:p>
        </w:tc>
        <w:tc>
          <w:tcPr>
            <w:tcW w:w="576" w:type="pct"/>
            <w:tcBorders>
              <w:left w:val="single" w:sz="4" w:space="0" w:color="auto"/>
              <w:right w:val="single" w:sz="4" w:space="0" w:color="auto"/>
            </w:tcBorders>
            <w:shd w:val="clear" w:color="auto" w:fill="auto"/>
          </w:tcPr>
          <w:p w:rsidR="00FD0430" w:rsidRPr="00413CC3" w:rsidRDefault="00AF3711" w:rsidP="00755907">
            <w:pPr>
              <w:widowControl w:val="0"/>
              <w:suppressAutoHyphens/>
              <w:jc w:val="center"/>
              <w:rPr>
                <w:color w:val="FF0000"/>
                <w:sz w:val="22"/>
                <w:szCs w:val="22"/>
              </w:rPr>
            </w:pPr>
            <w:r w:rsidRPr="00AF3711">
              <w:rPr>
                <w:b/>
                <w:sz w:val="22"/>
                <w:szCs w:val="22"/>
              </w:rPr>
              <w:t>1 970 228</w:t>
            </w:r>
          </w:p>
        </w:tc>
      </w:tr>
    </w:tbl>
    <w:p w:rsidR="00E342BD" w:rsidRDefault="00E342BD" w:rsidP="00E342BD">
      <w:pPr>
        <w:jc w:val="both"/>
      </w:pPr>
    </w:p>
    <w:p w:rsidR="00AF3711" w:rsidRPr="005A32D5" w:rsidRDefault="00AF3711" w:rsidP="00AF3711">
      <w:pPr>
        <w:jc w:val="both"/>
      </w:pPr>
      <w:r w:rsidRPr="005A32D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t xml:space="preserve"> </w:t>
      </w:r>
      <w:r w:rsidRPr="005A32D5">
        <w:t>№ 2300-1 «О защите прав потребителей»).</w:t>
      </w:r>
    </w:p>
    <w:p w:rsidR="00AF3711" w:rsidRDefault="00AF3711" w:rsidP="00AF3711">
      <w:pPr>
        <w:jc w:val="both"/>
      </w:pPr>
      <w:r w:rsidRPr="005A32D5">
        <w:t xml:space="preserve">3.2. Товар должен соответствовать требованиям государственных стандартов (ГОСТ), действующих на территории Российской Федерации: </w:t>
      </w:r>
    </w:p>
    <w:p w:rsidR="00AF3711" w:rsidRPr="005A32D5" w:rsidRDefault="00AF3711" w:rsidP="00AF3711">
      <w:pPr>
        <w:jc w:val="both"/>
      </w:pPr>
      <w:r>
        <w:t>ГОСТ ISO 10993-10-2011</w:t>
      </w:r>
      <w:r w:rsidRPr="00366A4C">
        <w:t xml:space="preserve"> </w:t>
      </w:r>
      <w:r>
        <w:t>«</w:t>
      </w:r>
      <w:r w:rsidRPr="00366A4C">
        <w:t>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w:t>
      </w:r>
      <w:r>
        <w:t>».</w:t>
      </w:r>
    </w:p>
    <w:p w:rsidR="00AF3711" w:rsidRPr="005A32D5" w:rsidRDefault="00AF3711" w:rsidP="00AF3711">
      <w:pPr>
        <w:jc w:val="both"/>
      </w:pPr>
      <w:r w:rsidRPr="005A32D5">
        <w:t>ГОСТ Р 52770-2016 «Изделия медицинские. Требования безопасности. Методы санитарно-химических и токсикологических испытаний».</w:t>
      </w:r>
    </w:p>
    <w:p w:rsidR="00AF3711" w:rsidRDefault="00AF3711" w:rsidP="00AF3711">
      <w:pPr>
        <w:jc w:val="both"/>
      </w:pPr>
      <w:r w:rsidRPr="005A32D5">
        <w:t>Г</w:t>
      </w:r>
      <w:r>
        <w:t>ОСТ ISO 10993-1-202</w:t>
      </w:r>
      <w:r w:rsidRPr="005A32D5">
        <w:t xml:space="preserve">1 «Изделия медицинские. Оценка биологического действия медицинских изделий. </w:t>
      </w:r>
      <w:r>
        <w:t>Часть 1. Оценка и исследования».</w:t>
      </w:r>
    </w:p>
    <w:p w:rsidR="00AF3711" w:rsidRPr="005A32D5" w:rsidRDefault="00AF3711" w:rsidP="00AF3711">
      <w:pPr>
        <w:jc w:val="both"/>
      </w:pPr>
      <w:r w:rsidRPr="005A32D5">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AF3711" w:rsidRPr="005A32D5" w:rsidRDefault="00AF3711" w:rsidP="00AF3711">
      <w:pPr>
        <w:jc w:val="both"/>
      </w:pPr>
      <w:r w:rsidRPr="005A32D5">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AF3711" w:rsidRPr="005A32D5" w:rsidRDefault="00AF3711" w:rsidP="00AF3711">
      <w:pPr>
        <w:jc w:val="both"/>
      </w:pPr>
      <w:r w:rsidRPr="005A32D5">
        <w:t>4. Поставщик обязан:</w:t>
      </w:r>
    </w:p>
    <w:p w:rsidR="00AF3711" w:rsidRPr="005A32D5" w:rsidRDefault="00AF3711" w:rsidP="00AF3711">
      <w:pPr>
        <w:jc w:val="both"/>
      </w:pPr>
      <w:r w:rsidRPr="005A32D5">
        <w:lastRenderedPageBreak/>
        <w:t>4.1.Поставлять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AF3711" w:rsidRPr="005A32D5" w:rsidRDefault="00AF3711" w:rsidP="00AF3711">
      <w:pPr>
        <w:jc w:val="both"/>
      </w:pPr>
      <w:r w:rsidRPr="005A32D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F3711" w:rsidRPr="005A32D5" w:rsidRDefault="00AF3711" w:rsidP="00AF3711">
      <w:pPr>
        <w:jc w:val="both"/>
      </w:pPr>
      <w:r w:rsidRPr="005A32D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AF3711" w:rsidRPr="005A32D5" w:rsidRDefault="00AF3711" w:rsidP="00AF3711">
      <w:pPr>
        <w:jc w:val="both"/>
      </w:pPr>
      <w:r w:rsidRPr="005A32D5">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AF3711" w:rsidRPr="005A32D5" w:rsidRDefault="00AF3711" w:rsidP="00AF3711">
      <w:pPr>
        <w:jc w:val="both"/>
        <w:rPr>
          <w:rFonts w:ascii="Times New Roman CYR" w:hAnsi="Times New Roman CYR" w:cs="Times New Roman CYR"/>
        </w:rPr>
      </w:pPr>
      <w:r w:rsidRPr="005A32D5">
        <w:rPr>
          <w:rFonts w:ascii="Times New Roman CYR"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5A32D5">
        <w:rPr>
          <w:rFonts w:ascii="Times New Roman CYR" w:hAnsi="Times New Roman CYR" w:cs="Times New Roman CYR"/>
        </w:rPr>
        <w:t>Роспотребнадзора</w:t>
      </w:r>
      <w:proofErr w:type="spellEnd"/>
      <w:r w:rsidRPr="005A32D5">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5A32D5">
        <w:rPr>
          <w:rFonts w:ascii="Times New Roman CYR" w:hAnsi="Times New Roman CYR" w:cs="Times New Roman CYR"/>
        </w:rPr>
        <w:t>коронавирусной</w:t>
      </w:r>
      <w:proofErr w:type="spellEnd"/>
      <w:r w:rsidRPr="005A32D5">
        <w:rPr>
          <w:rFonts w:ascii="Times New Roman CYR" w:hAnsi="Times New Roman CYR" w:cs="Times New Roman CYR"/>
        </w:rPr>
        <w:t xml:space="preserve"> инфекции (COVID-19).</w:t>
      </w:r>
    </w:p>
    <w:p w:rsidR="00AF3711" w:rsidRPr="005A32D5" w:rsidRDefault="00AF3711" w:rsidP="00AF3711">
      <w:pPr>
        <w:jc w:val="both"/>
        <w:rPr>
          <w:rFonts w:ascii="Times New Roman CYR" w:hAnsi="Times New Roman CYR" w:cs="Times New Roman CYR"/>
        </w:rPr>
      </w:pPr>
      <w:r w:rsidRPr="005A32D5">
        <w:rPr>
          <w:rFonts w:ascii="Times New Roman CYR" w:hAnsi="Times New Roman CYR" w:cs="Times New Roman CYR"/>
        </w:rPr>
        <w:t xml:space="preserve">4.4. </w:t>
      </w:r>
      <w:r w:rsidRPr="005A32D5">
        <w:t xml:space="preserve">Обеспечить возможность выдачи Товара в пункте приема Получателей </w:t>
      </w:r>
      <w:r w:rsidRPr="0095262A">
        <w:t>со дня, следующего за днем поступления Товара в Санкт-Петербург в соответствии с ка</w:t>
      </w:r>
      <w:r>
        <w:t>лендарным планом, но не ранее 09</w:t>
      </w:r>
      <w:r w:rsidRPr="0095262A">
        <w:t>.01.2023</w:t>
      </w:r>
      <w:r w:rsidRPr="005A32D5">
        <w:t>. В день, следующий за днем поступления Товара в Санкт-Петербург в соответствии с календарным планом</w:t>
      </w:r>
      <w:r>
        <w:t>, но не ранее 09</w:t>
      </w:r>
      <w:r w:rsidRPr="0095262A">
        <w:t>.01.2023</w:t>
      </w:r>
      <w:r w:rsidRPr="005A32D5">
        <w:t xml:space="preserve">, на пункте (пунктах) приема Получателей (далее – пункт (пункты) приема Получателей) должно находиться </w:t>
      </w:r>
      <w:r w:rsidRPr="0095262A">
        <w:t>не менее 100% Товара</w:t>
      </w:r>
      <w:r w:rsidRPr="005A32D5">
        <w:t>.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AF3711" w:rsidRPr="005A32D5" w:rsidRDefault="00AF3711" w:rsidP="00AF3711">
      <w:pPr>
        <w:jc w:val="both"/>
        <w:rPr>
          <w:rFonts w:ascii="Times New Roman CYR" w:hAnsi="Times New Roman CYR" w:cs="Times New Roman CYR"/>
        </w:rPr>
      </w:pPr>
      <w:r w:rsidRPr="005A32D5">
        <w:rPr>
          <w:rFonts w:ascii="Times New Roman CYR" w:hAnsi="Times New Roman CYR" w:cs="Times New Roman CYR"/>
        </w:rPr>
        <w:t xml:space="preserve">4.5. Давать справки Получателям по вопросам, связанным с поставкой Товара, </w:t>
      </w:r>
      <w:r w:rsidRPr="005A32D5">
        <w:t xml:space="preserve">а также </w:t>
      </w:r>
      <w:r w:rsidRPr="005A32D5">
        <w:rPr>
          <w:rFonts w:ascii="Times New Roman CYR" w:hAnsi="Times New Roman CYR" w:cs="Times New Roman CYR"/>
        </w:rPr>
        <w:t>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AF3711" w:rsidRPr="005A32D5" w:rsidRDefault="00AF3711" w:rsidP="00AF3711">
      <w:pPr>
        <w:jc w:val="both"/>
      </w:pPr>
      <w:r w:rsidRPr="005A32D5">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w:t>
      </w:r>
      <w:r w:rsidRPr="005A32D5">
        <w:t xml:space="preserve">-Петербурга; исключается возможность взимания оплаты за звонки Поставщиком. </w:t>
      </w:r>
    </w:p>
    <w:p w:rsidR="00AF3711" w:rsidRPr="005A32D5" w:rsidRDefault="00AF3711" w:rsidP="00AF3711">
      <w:pPr>
        <w:jc w:val="both"/>
      </w:pPr>
      <w:r w:rsidRPr="005A32D5">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AF3711" w:rsidRPr="005A32D5" w:rsidRDefault="00AF3711" w:rsidP="00AF3711">
      <w:pPr>
        <w:jc w:val="both"/>
      </w:pPr>
      <w:r w:rsidRPr="005A32D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AF3711" w:rsidRPr="005A32D5" w:rsidRDefault="00AF3711" w:rsidP="00AF3711">
      <w:pPr>
        <w:jc w:val="both"/>
      </w:pPr>
      <w:r w:rsidRPr="005A32D5">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proofErr w:type="gramStart"/>
        <w:r w:rsidRPr="005A32D5">
          <w:rPr>
            <w:color w:val="0000FF"/>
            <w:u w:val="single"/>
          </w:rPr>
          <w:t>osp@ro78.fss.ru</w:t>
        </w:r>
      </w:hyperlink>
      <w:r w:rsidRPr="005A32D5">
        <w:t xml:space="preserve"> ,</w:t>
      </w:r>
      <w:proofErr w:type="gramEnd"/>
      <w:r w:rsidRPr="005A32D5">
        <w:t xml:space="preserve"> </w:t>
      </w:r>
      <w:hyperlink r:id="rId9" w:history="1">
        <w:r w:rsidRPr="005A32D5">
          <w:rPr>
            <w:color w:val="0000FF"/>
            <w:u w:val="single"/>
          </w:rPr>
          <w:t>tsrfil31@ro78.fss.ru</w:t>
        </w:r>
      </w:hyperlink>
      <w:r w:rsidRPr="005A32D5">
        <w:t>.</w:t>
      </w:r>
    </w:p>
    <w:p w:rsidR="00AF3711" w:rsidRPr="005A32D5" w:rsidRDefault="00AF3711" w:rsidP="00AF3711">
      <w:pPr>
        <w:autoSpaceDE w:val="0"/>
        <w:autoSpaceDN w:val="0"/>
        <w:adjustRightInd w:val="0"/>
        <w:spacing w:line="240" w:lineRule="atLeast"/>
        <w:jc w:val="both"/>
      </w:pPr>
      <w:r w:rsidRPr="005A32D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AF3711" w:rsidRPr="005A32D5" w:rsidRDefault="00AF3711" w:rsidP="00AF3711">
      <w:pPr>
        <w:numPr>
          <w:ilvl w:val="0"/>
          <w:numId w:val="9"/>
        </w:numPr>
        <w:autoSpaceDE w:val="0"/>
        <w:autoSpaceDN w:val="0"/>
        <w:adjustRightInd w:val="0"/>
        <w:contextualSpacing/>
        <w:jc w:val="both"/>
      </w:pPr>
      <w:r w:rsidRPr="005A32D5">
        <w:t>наименование, фирменное наименование (при наличии), место нахождения, почтовый адрес (для юридического лица);</w:t>
      </w:r>
    </w:p>
    <w:p w:rsidR="00AF3711" w:rsidRPr="005A32D5" w:rsidRDefault="00AF3711" w:rsidP="00AF3711">
      <w:pPr>
        <w:numPr>
          <w:ilvl w:val="0"/>
          <w:numId w:val="9"/>
        </w:numPr>
        <w:autoSpaceDE w:val="0"/>
        <w:autoSpaceDN w:val="0"/>
        <w:adjustRightInd w:val="0"/>
        <w:contextualSpacing/>
        <w:jc w:val="both"/>
      </w:pPr>
      <w:r w:rsidRPr="005A32D5">
        <w:lastRenderedPageBreak/>
        <w:t>фамилия, имя, отчество (при наличии), паспортные данные, место жительства (для физического лица);</w:t>
      </w:r>
    </w:p>
    <w:p w:rsidR="00AF3711" w:rsidRPr="005A32D5" w:rsidRDefault="00AF3711" w:rsidP="00AF3711">
      <w:pPr>
        <w:numPr>
          <w:ilvl w:val="0"/>
          <w:numId w:val="9"/>
        </w:numPr>
        <w:autoSpaceDE w:val="0"/>
        <w:autoSpaceDN w:val="0"/>
        <w:adjustRightInd w:val="0"/>
        <w:contextualSpacing/>
        <w:jc w:val="both"/>
      </w:pPr>
      <w:r w:rsidRPr="005A32D5">
        <w:t>номер контактного телефона;</w:t>
      </w:r>
    </w:p>
    <w:p w:rsidR="00AF3711" w:rsidRPr="005A32D5" w:rsidRDefault="00AF3711" w:rsidP="00AF3711">
      <w:pPr>
        <w:numPr>
          <w:ilvl w:val="0"/>
          <w:numId w:val="9"/>
        </w:numPr>
        <w:autoSpaceDE w:val="0"/>
        <w:autoSpaceDN w:val="0"/>
        <w:adjustRightInd w:val="0"/>
        <w:contextualSpacing/>
        <w:jc w:val="both"/>
      </w:pPr>
      <w:r w:rsidRPr="005A32D5">
        <w:t>адрес электронной почты;</w:t>
      </w:r>
    </w:p>
    <w:p w:rsidR="00AF3711" w:rsidRPr="005A32D5" w:rsidRDefault="00AF3711" w:rsidP="00AF3711">
      <w:pPr>
        <w:numPr>
          <w:ilvl w:val="0"/>
          <w:numId w:val="9"/>
        </w:numPr>
        <w:autoSpaceDE w:val="0"/>
        <w:autoSpaceDN w:val="0"/>
        <w:adjustRightInd w:val="0"/>
        <w:contextualSpacing/>
        <w:jc w:val="both"/>
      </w:pPr>
      <w:r w:rsidRPr="005A32D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F3711" w:rsidRPr="005A32D5" w:rsidRDefault="00AF3711" w:rsidP="00AF3711">
      <w:pPr>
        <w:numPr>
          <w:ilvl w:val="0"/>
          <w:numId w:val="9"/>
        </w:numPr>
        <w:autoSpaceDE w:val="0"/>
        <w:autoSpaceDN w:val="0"/>
        <w:adjustRightInd w:val="0"/>
        <w:contextualSpacing/>
        <w:jc w:val="both"/>
      </w:pPr>
      <w:r w:rsidRPr="005A32D5">
        <w:t>перечень операций, выполняемых соисполнителем в рамках контракта;</w:t>
      </w:r>
    </w:p>
    <w:p w:rsidR="00AF3711" w:rsidRPr="005A32D5" w:rsidRDefault="00AF3711" w:rsidP="00AF3711">
      <w:pPr>
        <w:numPr>
          <w:ilvl w:val="0"/>
          <w:numId w:val="9"/>
        </w:numPr>
        <w:autoSpaceDE w:val="0"/>
        <w:autoSpaceDN w:val="0"/>
        <w:adjustRightInd w:val="0"/>
        <w:contextualSpacing/>
        <w:jc w:val="both"/>
        <w:rPr>
          <w:rFonts w:ascii="Calibri" w:hAnsi="Calibri"/>
        </w:rPr>
      </w:pPr>
      <w:r w:rsidRPr="005A32D5">
        <w:t xml:space="preserve">срок </w:t>
      </w:r>
      <w:proofErr w:type="spellStart"/>
      <w:r w:rsidRPr="005A32D5">
        <w:t>соисполнительства</w:t>
      </w:r>
      <w:proofErr w:type="spellEnd"/>
      <w:r w:rsidRPr="005A32D5">
        <w:t>.</w:t>
      </w:r>
    </w:p>
    <w:p w:rsidR="00AF3711" w:rsidRPr="005A32D5" w:rsidRDefault="00AF3711" w:rsidP="00AF3711">
      <w:pPr>
        <w:autoSpaceDE w:val="0"/>
        <w:autoSpaceDN w:val="0"/>
        <w:adjustRightInd w:val="0"/>
        <w:spacing w:line="240" w:lineRule="atLeast"/>
        <w:jc w:val="both"/>
      </w:pPr>
      <w:r w:rsidRPr="005A32D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AF3711" w:rsidRPr="005A32D5" w:rsidRDefault="00AF3711" w:rsidP="00AF3711">
      <w:pPr>
        <w:autoSpaceDE w:val="0"/>
        <w:autoSpaceDN w:val="0"/>
        <w:adjustRightInd w:val="0"/>
        <w:spacing w:line="240" w:lineRule="atLeast"/>
        <w:jc w:val="both"/>
      </w:pPr>
      <w:r w:rsidRPr="005A32D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AF3711" w:rsidRPr="005A32D5" w:rsidRDefault="00AF3711" w:rsidP="00AF3711">
      <w:pPr>
        <w:autoSpaceDE w:val="0"/>
        <w:autoSpaceDN w:val="0"/>
        <w:adjustRightInd w:val="0"/>
        <w:spacing w:line="240" w:lineRule="atLeast"/>
        <w:jc w:val="both"/>
      </w:pPr>
      <w:r w:rsidRPr="005A32D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5A32D5">
          <w:rPr>
            <w:color w:val="0000FF"/>
            <w:u w:val="single"/>
            <w:lang w:val="en-US"/>
          </w:rPr>
          <w:t>osp</w:t>
        </w:r>
        <w:r w:rsidRPr="005A32D5">
          <w:rPr>
            <w:color w:val="0000FF"/>
            <w:u w:val="single"/>
          </w:rPr>
          <w:t>@</w:t>
        </w:r>
        <w:r w:rsidRPr="005A32D5">
          <w:rPr>
            <w:color w:val="0000FF"/>
            <w:u w:val="single"/>
            <w:lang w:val="en-US"/>
          </w:rPr>
          <w:t>ro</w:t>
        </w:r>
        <w:r w:rsidRPr="005A32D5">
          <w:rPr>
            <w:color w:val="0000FF"/>
            <w:u w:val="single"/>
          </w:rPr>
          <w:t>78.</w:t>
        </w:r>
        <w:r w:rsidRPr="005A32D5">
          <w:rPr>
            <w:color w:val="0000FF"/>
            <w:u w:val="single"/>
            <w:lang w:val="en-US"/>
          </w:rPr>
          <w:t>fss</w:t>
        </w:r>
        <w:r w:rsidRPr="005A32D5">
          <w:rPr>
            <w:color w:val="0000FF"/>
            <w:u w:val="single"/>
          </w:rPr>
          <w:t>.</w:t>
        </w:r>
        <w:proofErr w:type="spellStart"/>
        <w:r w:rsidRPr="005A32D5">
          <w:rPr>
            <w:color w:val="0000FF"/>
            <w:u w:val="single"/>
            <w:lang w:val="en-US"/>
          </w:rPr>
          <w:t>ru</w:t>
        </w:r>
        <w:proofErr w:type="spellEnd"/>
      </w:hyperlink>
      <w:r w:rsidRPr="005A32D5">
        <w:t xml:space="preserve">. </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5. Способ поставки:</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5.1. Поставщик передает Получателям Товар следующими способами:</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 в пункте (пунктах) приема Получателей, организованных Поставщиком.</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Поставщик обязан предоставлять Получателям право выбора способа получения Товара.</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w:t>
      </w:r>
      <w:r w:rsidRPr="00E77604">
        <w:rPr>
          <w:rFonts w:eastAsia="Times New Roman"/>
        </w:rPr>
        <w:t xml:space="preserve">должен организовать не менее </w:t>
      </w:r>
      <w:r>
        <w:rPr>
          <w:rFonts w:eastAsia="Times New Roman"/>
        </w:rPr>
        <w:t>4</w:t>
      </w:r>
      <w:r w:rsidRPr="00E77604">
        <w:rPr>
          <w:rFonts w:eastAsia="Times New Roman"/>
        </w:rPr>
        <w:t xml:space="preserve"> (</w:t>
      </w:r>
      <w:r>
        <w:rPr>
          <w:rFonts w:eastAsia="Times New Roman"/>
        </w:rPr>
        <w:t>четырех</w:t>
      </w:r>
      <w:r w:rsidRPr="00E77604">
        <w:rPr>
          <w:rFonts w:eastAsia="Times New Roman"/>
        </w:rPr>
        <w:t xml:space="preserve">) пунктов приема </w:t>
      </w:r>
      <w:r w:rsidRPr="006467C6">
        <w:rPr>
          <w:rFonts w:eastAsia="Times New Roman"/>
          <w:color w:val="212121"/>
        </w:rPr>
        <w:t>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 xml:space="preserve">В соответствии с частью 2 статьи 12 Федерального закона от 30.12.2009 №384-ФЗ «Технический регламент о безопасности зданий и сооружений» </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В городе Санкт-Петербург таким объектом транспортной инфраструктуры, отвечающим установленным требованиям, является метрополитен.</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AF3711" w:rsidRPr="006467C6" w:rsidRDefault="00AF3711" w:rsidP="00AF3711">
      <w:pPr>
        <w:shd w:val="clear" w:color="auto" w:fill="FFFFFF"/>
        <w:jc w:val="both"/>
        <w:rPr>
          <w:rFonts w:eastAsia="Times New Roman"/>
          <w:color w:val="212121"/>
        </w:rPr>
      </w:pPr>
      <w:r w:rsidRPr="006467C6">
        <w:rPr>
          <w:rFonts w:eastAsia="Times New Roman"/>
          <w:color w:val="212121"/>
        </w:rPr>
        <w:lastRenderedPageBreak/>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AF3711" w:rsidRDefault="00AF3711" w:rsidP="00AF3711">
      <w:pPr>
        <w:shd w:val="clear" w:color="auto" w:fill="FFFFFF"/>
        <w:jc w:val="both"/>
        <w:rPr>
          <w:rFonts w:eastAsia="Times New Roman"/>
          <w:color w:val="212121"/>
        </w:rPr>
      </w:pPr>
      <w:r w:rsidRPr="006467C6">
        <w:rPr>
          <w:rFonts w:eastAsia="Times New Roman"/>
          <w:color w:val="212121"/>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15 Федерального закона от 24.11.1995 № 181 «О социальной защите инвалидов в Российской Федерации.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Вход в каждый пункт (пункты)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в том числе с помощью его работников, а также сменного кресла-коляски.</w:t>
      </w:r>
    </w:p>
    <w:p w:rsidR="00AF3711" w:rsidRPr="003954F0" w:rsidRDefault="00AF3711" w:rsidP="00AF3711">
      <w:pPr>
        <w:shd w:val="clear" w:color="auto" w:fill="FFFFFF"/>
        <w:jc w:val="both"/>
        <w:rPr>
          <w:rFonts w:eastAsia="Times New Roman"/>
          <w:b/>
          <w:color w:val="212121"/>
        </w:rPr>
      </w:pPr>
      <w:r w:rsidRPr="003954F0">
        <w:rPr>
          <w:rFonts w:eastAsia="Times New Roman"/>
          <w:b/>
          <w:color w:val="212121"/>
        </w:rPr>
        <w:t>Входная группа</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При перепадах высот Поставщик должен учитывать наличие следующих элементов:</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Пандус с поручнями;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 соответствии с п. 5.1.14 – п. 5.1.16; п. 6.1.2 – п. 6.1.4; п. 6.2.9 – п. 6.2.11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Лестница с поручнями;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Применение для инвалидов вместо пандусов аппарелей не допускается на объекте (в соответствии с п. 6.1.2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Тактильно-контрастные указатели;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F3711" w:rsidRPr="00552EC3" w:rsidRDefault="00AF3711" w:rsidP="00AF3711">
      <w:pPr>
        <w:suppressAutoHyphens/>
        <w:jc w:val="both"/>
        <w:rPr>
          <w:b/>
        </w:rPr>
      </w:pPr>
      <w:r w:rsidRPr="003954F0">
        <w:rPr>
          <w:rFonts w:eastAsia="Times New Roman"/>
          <w:b/>
          <w:color w:val="212121"/>
        </w:rPr>
        <w:t>Пути движения внутри пункта (пунктов)</w:t>
      </w:r>
      <w:r w:rsidRPr="00552EC3">
        <w:rPr>
          <w:rFonts w:eastAsia="Times New Roman"/>
          <w:b/>
          <w:color w:val="212121"/>
        </w:rPr>
        <w:t xml:space="preserve"> </w:t>
      </w:r>
      <w:r w:rsidRPr="00552EC3">
        <w:rPr>
          <w:b/>
        </w:rPr>
        <w:t>приема Получателей</w:t>
      </w:r>
    </w:p>
    <w:p w:rsidR="00AF3711" w:rsidRPr="003954F0" w:rsidRDefault="00AF3711" w:rsidP="00AF3711">
      <w:pPr>
        <w:suppressAutoHyphens/>
        <w:spacing w:line="259" w:lineRule="auto"/>
        <w:jc w:val="both"/>
        <w:rPr>
          <w:rFonts w:eastAsiaTheme="minorHAnsi"/>
          <w:b/>
          <w:lang w:eastAsia="en-US"/>
        </w:rPr>
      </w:pPr>
      <w:r w:rsidRPr="003954F0">
        <w:rPr>
          <w:rFonts w:eastAsia="Times New Roman"/>
          <w:color w:val="212121"/>
        </w:rPr>
        <w:t>При перепадах высот Поставщик должен учитывать наличие следующих элементов:</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Лифт, подъемная платформа, эскалатор</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 соответствии с п. 6.2.13 – п. 6.2.18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Лифт должен иметь габариты не менее 1100х1400 мм (ширина х глубина).</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Лестницы необходимо обеспечить противоскользящими контрастными полосами общей шириной 0,08-0.1м. (в соответствии с п. 6.2.8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Необходимо обеспечить зону досягаемости для посетителей в кресле-коляске в пределах, установленных в с</w:t>
      </w:r>
      <w:r w:rsidRPr="00552EC3">
        <w:rPr>
          <w:rFonts w:eastAsia="Times New Roman"/>
          <w:color w:val="212121"/>
        </w:rPr>
        <w:t>оответствии с п. 8.1.7 СП.59.13</w:t>
      </w:r>
      <w:r w:rsidRPr="003954F0">
        <w:rPr>
          <w:rFonts w:eastAsia="Times New Roman"/>
          <w:color w:val="212121"/>
        </w:rPr>
        <w:t>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3954F0">
        <w:rPr>
          <w:rFonts w:eastAsia="Times New Roman"/>
          <w:color w:val="212121"/>
        </w:rPr>
        <w:lastRenderedPageBreak/>
        <w:t>своевременного предупреждения об опасности в экстремальных ситуациях, расположении путей эвакуации.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xml:space="preserve">- </w:t>
      </w:r>
      <w:proofErr w:type="gramStart"/>
      <w:r w:rsidRPr="003954F0">
        <w:rPr>
          <w:rFonts w:eastAsia="Times New Roman"/>
          <w:color w:val="212121"/>
        </w:rPr>
        <w:t>В</w:t>
      </w:r>
      <w:proofErr w:type="gramEnd"/>
      <w:r w:rsidRPr="003954F0">
        <w:rPr>
          <w:rFonts w:eastAsia="Times New Roman"/>
          <w:color w:val="212121"/>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r w:rsidRPr="00552EC3">
        <w:rPr>
          <w:rFonts w:eastAsia="Times New Roman"/>
          <w:color w:val="212121"/>
        </w:rPr>
        <w:t>.</w:t>
      </w:r>
    </w:p>
    <w:p w:rsidR="00AF3711" w:rsidRPr="003954F0" w:rsidRDefault="00AF3711" w:rsidP="00AF3711">
      <w:pPr>
        <w:shd w:val="clear" w:color="auto" w:fill="FFFFFF"/>
        <w:jc w:val="both"/>
        <w:rPr>
          <w:rFonts w:eastAsia="Times New Roman"/>
          <w:b/>
          <w:color w:val="212121"/>
        </w:rPr>
      </w:pPr>
      <w:r w:rsidRPr="003954F0">
        <w:rPr>
          <w:rFonts w:eastAsia="Times New Roman"/>
          <w:b/>
          <w:color w:val="212121"/>
        </w:rPr>
        <w:t>Пути эвакуации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Пути эвакуации помещений пункта (пунктов) приема должны обеспечивать безопасность посетителей в соответствии с п.6.2.19-п.6.2.32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Обеспечить систему двухсторонней связи с диспетчером или дежурным (в соответствии с п. 6.5.8 СП 59.13330.2020).</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5.5. Пункт(ы) приема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Поставщиком оборудуются дополнительные окна обслуживания.</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5.7. Товар должен находиться на складе пункта (пунктов) приема,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5.8. Пункт (пункты) приема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возможность беспрепятственного входа в объекты и выхода из них;</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954F0">
        <w:rPr>
          <w:rFonts w:eastAsia="Times New Roman"/>
          <w:color w:val="212121"/>
        </w:rPr>
        <w:t>ассистивных</w:t>
      </w:r>
      <w:proofErr w:type="spellEnd"/>
      <w:r w:rsidRPr="003954F0">
        <w:rPr>
          <w:rFonts w:eastAsia="Times New Roman"/>
          <w:color w:val="212121"/>
        </w:rPr>
        <w:t xml:space="preserve"> и вспомогательных технологий, а также сменного кресла-коляски;</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сопровождение инвалидов, имеющих стойкие нарушения функции зрения и самостоятельного передвижения по территории объекта;</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содействие инвалиду при входе в объект и выходе из него, информирование инвалида о доступных маршрутах общественного транспорта;</w:t>
      </w:r>
    </w:p>
    <w:p w:rsidR="00AF3711" w:rsidRPr="003954F0" w:rsidRDefault="00AF3711" w:rsidP="00AF3711">
      <w:pPr>
        <w:shd w:val="clear" w:color="auto" w:fill="FFFFFF"/>
        <w:jc w:val="both"/>
        <w:rPr>
          <w:rFonts w:eastAsia="Times New Roman"/>
          <w:color w:val="212121"/>
        </w:rPr>
      </w:pPr>
      <w:r w:rsidRPr="003954F0">
        <w:rPr>
          <w:rFonts w:eastAsia="Times New Roman"/>
          <w:color w:val="212121"/>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3711" w:rsidRPr="00552EC3" w:rsidRDefault="00AF3711" w:rsidP="00AF3711">
      <w:pPr>
        <w:shd w:val="clear" w:color="auto" w:fill="FFFFFF"/>
        <w:jc w:val="both"/>
        <w:rPr>
          <w:rFonts w:eastAsia="Times New Roman"/>
          <w:color w:val="212121"/>
        </w:rPr>
      </w:pPr>
      <w:r w:rsidRPr="003954F0">
        <w:rPr>
          <w:rFonts w:eastAsia="Times New Roman"/>
          <w:color w:val="212121"/>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r w:rsidRPr="003954F0">
        <w:rPr>
          <w:rFonts w:eastAsia="Times New Roman"/>
          <w:color w:val="212121"/>
        </w:rPr>
        <w:lastRenderedPageBreak/>
        <w:t>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AF3711" w:rsidRPr="006467C6" w:rsidRDefault="00AF3711" w:rsidP="00AF3711">
      <w:pPr>
        <w:suppressAutoHyphens/>
        <w:jc w:val="both"/>
        <w:rPr>
          <w:color w:val="000000"/>
        </w:rPr>
      </w:pPr>
      <w:r w:rsidRPr="00552EC3">
        <w:rPr>
          <w:color w:val="000000"/>
        </w:rPr>
        <w:t xml:space="preserve">5.9. </w:t>
      </w:r>
      <w:r w:rsidRPr="006467C6">
        <w:rPr>
          <w:color w:val="000000"/>
        </w:rPr>
        <w:t>Заказчик вправе предоставить Поставщику без взимания платы помещение для организации пункта приема Товара Получателям. Поставщик обязан организовать выдачу Товара в предложенном пункте приема. </w:t>
      </w:r>
    </w:p>
    <w:p w:rsidR="00AF3711" w:rsidRPr="00D75CC5" w:rsidRDefault="00AF3711" w:rsidP="00AF3711">
      <w:pPr>
        <w:shd w:val="clear" w:color="auto" w:fill="FFFFFF"/>
        <w:rPr>
          <w:rFonts w:eastAsia="Times New Roman"/>
          <w:color w:val="212121"/>
        </w:rPr>
      </w:pPr>
      <w:r w:rsidRPr="003954F0">
        <w:rPr>
          <w:rFonts w:eastAsia="Times New Roman"/>
          <w:color w:val="212121"/>
        </w:rPr>
        <w:t> </w:t>
      </w:r>
      <w:r w:rsidRPr="005A32D5">
        <w:t>6. В случае выбора Получателем способа получения Товара по месту нахождения пункта (пунктов) приема,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AF3711" w:rsidRPr="005A32D5" w:rsidRDefault="00AF3711" w:rsidP="00AF3711">
      <w:pPr>
        <w:jc w:val="both"/>
      </w:pPr>
      <w:r w:rsidRPr="005A32D5">
        <w:t>6.1.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AF3711" w:rsidRPr="005A32D5" w:rsidRDefault="00AF3711" w:rsidP="00AF3711">
      <w:pPr>
        <w:jc w:val="both"/>
      </w:pPr>
      <w:r w:rsidRPr="005A32D5">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не позднее 1 (одного) рабочего дня с даты заключения контракта. Доставка осуществляется за счет средств Поставщика.</w:t>
      </w:r>
    </w:p>
    <w:p w:rsidR="00AF3711" w:rsidRDefault="00AF3711" w:rsidP="00AF3711">
      <w:pPr>
        <w:jc w:val="both"/>
      </w:pPr>
      <w:r w:rsidRPr="005A32D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AF3711" w:rsidRPr="005A32D5" w:rsidRDefault="00AF3711" w:rsidP="00AF3711">
      <w:pPr>
        <w:jc w:val="both"/>
      </w:pPr>
      <w:r w:rsidRPr="0095262A">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w:t>
      </w:r>
      <w:r>
        <w:t>лучателей Товара, но не ранее 09</w:t>
      </w:r>
      <w:r w:rsidRPr="0095262A">
        <w:t>.01.2023.</w:t>
      </w:r>
    </w:p>
    <w:p w:rsidR="00AF3711" w:rsidRPr="005A32D5" w:rsidRDefault="00AF3711" w:rsidP="00AF3711">
      <w:pPr>
        <w:jc w:val="both"/>
      </w:pPr>
      <w:r w:rsidRPr="005A32D5">
        <w:t xml:space="preserve">6.4. С целью подтверждения соответствия Товара по количеству, комплектности, ассортименту и качеству требованиям,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5A32D5">
        <w:t>фотофиксацию</w:t>
      </w:r>
      <w:proofErr w:type="spellEnd"/>
      <w:r w:rsidRPr="005A32D5">
        <w:t xml:space="preserve"> и/или видеозапись.</w:t>
      </w:r>
    </w:p>
    <w:p w:rsidR="00AF3711" w:rsidRPr="005A32D5" w:rsidRDefault="00AF3711" w:rsidP="00AF3711">
      <w:pPr>
        <w:jc w:val="both"/>
      </w:pPr>
      <w:r w:rsidRPr="005A32D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1" w:history="1">
        <w:proofErr w:type="gramStart"/>
        <w:r w:rsidRPr="00A52B82">
          <w:rPr>
            <w:rStyle w:val="a8"/>
          </w:rPr>
          <w:t>osp@ro78.fss.ru</w:t>
        </w:r>
      </w:hyperlink>
      <w:r>
        <w:t xml:space="preserve">, </w:t>
      </w:r>
      <w:bookmarkStart w:id="0" w:name="_GoBack"/>
      <w:bookmarkEnd w:id="0"/>
      <w:r w:rsidRPr="005A32D5">
        <w:t xml:space="preserve"> tsrfil31@ro78.fss.ru</w:t>
      </w:r>
      <w:proofErr w:type="gramEnd"/>
      <w:r w:rsidRPr="005A32D5">
        <w:t>.</w:t>
      </w:r>
    </w:p>
    <w:p w:rsidR="00AF3711" w:rsidRPr="005A32D5" w:rsidRDefault="00AF3711" w:rsidP="00AF3711">
      <w:pPr>
        <w:jc w:val="both"/>
      </w:pPr>
      <w:r w:rsidRPr="005A32D5">
        <w:t>7. При проведении экспертизы Товара на соответствие их условиям технического задания, Поставщик должен предоставить необходимое для проведении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4800A5" w:rsidRDefault="004800A5" w:rsidP="003121CC">
      <w:pPr>
        <w:jc w:val="both"/>
        <w:rPr>
          <w:rFonts w:eastAsia="Times New Roman"/>
        </w:rPr>
      </w:pPr>
    </w:p>
    <w:sectPr w:rsidR="004800A5" w:rsidSect="00FD0430">
      <w:footerReference w:type="default" r:id="rId12"/>
      <w:footnotePr>
        <w:numFmt w:val="chicago"/>
      </w:footnotePr>
      <w:pgSz w:w="11906" w:h="16838"/>
      <w:pgMar w:top="567" w:right="680" w:bottom="567"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B5" w:rsidRDefault="00B556B5" w:rsidP="00F62241">
      <w:r>
        <w:separator/>
      </w:r>
    </w:p>
  </w:endnote>
  <w:endnote w:type="continuationSeparator" w:id="0">
    <w:p w:rsidR="00B556B5" w:rsidRDefault="00B556B5"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16" w:rsidRPr="0095262A" w:rsidRDefault="00190B16" w:rsidP="0095262A">
    <w:pPr>
      <w:tabs>
        <w:tab w:val="center" w:pos="4677"/>
        <w:tab w:val="right" w:pos="9355"/>
      </w:tabs>
      <w:rPr>
        <w:rFonts w:eastAsia="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B5" w:rsidRDefault="00B556B5" w:rsidP="00F62241">
      <w:r>
        <w:separator/>
      </w:r>
    </w:p>
  </w:footnote>
  <w:footnote w:type="continuationSeparator" w:id="0">
    <w:p w:rsidR="00B556B5" w:rsidRDefault="00B556B5"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3"/>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11EA"/>
    <w:rsid w:val="00014555"/>
    <w:rsid w:val="000152D5"/>
    <w:rsid w:val="00017FEF"/>
    <w:rsid w:val="00021DD4"/>
    <w:rsid w:val="000230CE"/>
    <w:rsid w:val="0002344E"/>
    <w:rsid w:val="000235BA"/>
    <w:rsid w:val="000239A8"/>
    <w:rsid w:val="00030D9D"/>
    <w:rsid w:val="00032EC6"/>
    <w:rsid w:val="000332D1"/>
    <w:rsid w:val="00037F91"/>
    <w:rsid w:val="000403A9"/>
    <w:rsid w:val="000450B6"/>
    <w:rsid w:val="00047234"/>
    <w:rsid w:val="00050EF4"/>
    <w:rsid w:val="00051AF8"/>
    <w:rsid w:val="00053B9C"/>
    <w:rsid w:val="0005590E"/>
    <w:rsid w:val="00055F9C"/>
    <w:rsid w:val="00057222"/>
    <w:rsid w:val="00060E3B"/>
    <w:rsid w:val="000613FE"/>
    <w:rsid w:val="000635CE"/>
    <w:rsid w:val="00066A77"/>
    <w:rsid w:val="00067258"/>
    <w:rsid w:val="0006799F"/>
    <w:rsid w:val="00071385"/>
    <w:rsid w:val="00071836"/>
    <w:rsid w:val="00073F43"/>
    <w:rsid w:val="000742E3"/>
    <w:rsid w:val="00075046"/>
    <w:rsid w:val="000811DB"/>
    <w:rsid w:val="00082880"/>
    <w:rsid w:val="0008364B"/>
    <w:rsid w:val="000903CD"/>
    <w:rsid w:val="00090A78"/>
    <w:rsid w:val="00091492"/>
    <w:rsid w:val="0009183C"/>
    <w:rsid w:val="00095248"/>
    <w:rsid w:val="000970D7"/>
    <w:rsid w:val="00097242"/>
    <w:rsid w:val="000A004E"/>
    <w:rsid w:val="000A0D0D"/>
    <w:rsid w:val="000A1B1F"/>
    <w:rsid w:val="000A5C02"/>
    <w:rsid w:val="000A63CD"/>
    <w:rsid w:val="000A73A9"/>
    <w:rsid w:val="000A7668"/>
    <w:rsid w:val="000B18A0"/>
    <w:rsid w:val="000B29DB"/>
    <w:rsid w:val="000B6084"/>
    <w:rsid w:val="000B6512"/>
    <w:rsid w:val="000B6D00"/>
    <w:rsid w:val="000C0896"/>
    <w:rsid w:val="000C6BDD"/>
    <w:rsid w:val="000D12DB"/>
    <w:rsid w:val="000D1AD3"/>
    <w:rsid w:val="000D1F05"/>
    <w:rsid w:val="000D2D02"/>
    <w:rsid w:val="000D599C"/>
    <w:rsid w:val="000D6588"/>
    <w:rsid w:val="000E33FC"/>
    <w:rsid w:val="000E44B2"/>
    <w:rsid w:val="000E7368"/>
    <w:rsid w:val="000E7BEC"/>
    <w:rsid w:val="000F3A46"/>
    <w:rsid w:val="000F4B16"/>
    <w:rsid w:val="000F61A8"/>
    <w:rsid w:val="001005B0"/>
    <w:rsid w:val="0010428A"/>
    <w:rsid w:val="00104794"/>
    <w:rsid w:val="00107950"/>
    <w:rsid w:val="00111B3B"/>
    <w:rsid w:val="001139C6"/>
    <w:rsid w:val="001146A6"/>
    <w:rsid w:val="001247DC"/>
    <w:rsid w:val="0012720B"/>
    <w:rsid w:val="0013205B"/>
    <w:rsid w:val="001324D3"/>
    <w:rsid w:val="0013266D"/>
    <w:rsid w:val="0013675D"/>
    <w:rsid w:val="00140156"/>
    <w:rsid w:val="001413C4"/>
    <w:rsid w:val="00142713"/>
    <w:rsid w:val="0014281F"/>
    <w:rsid w:val="0014369E"/>
    <w:rsid w:val="00144852"/>
    <w:rsid w:val="001519CF"/>
    <w:rsid w:val="00152997"/>
    <w:rsid w:val="00155C8F"/>
    <w:rsid w:val="001571E3"/>
    <w:rsid w:val="0015727F"/>
    <w:rsid w:val="00157314"/>
    <w:rsid w:val="00162591"/>
    <w:rsid w:val="001628B3"/>
    <w:rsid w:val="001636AB"/>
    <w:rsid w:val="00164A30"/>
    <w:rsid w:val="001731D1"/>
    <w:rsid w:val="00175D38"/>
    <w:rsid w:val="00176832"/>
    <w:rsid w:val="0017775F"/>
    <w:rsid w:val="001836E3"/>
    <w:rsid w:val="001909BA"/>
    <w:rsid w:val="00190B16"/>
    <w:rsid w:val="001927D5"/>
    <w:rsid w:val="00192EDD"/>
    <w:rsid w:val="00193EB1"/>
    <w:rsid w:val="001A0824"/>
    <w:rsid w:val="001A2DE1"/>
    <w:rsid w:val="001A622D"/>
    <w:rsid w:val="001B3803"/>
    <w:rsid w:val="001B3B8A"/>
    <w:rsid w:val="001B520A"/>
    <w:rsid w:val="001B63E4"/>
    <w:rsid w:val="001C0266"/>
    <w:rsid w:val="001C0F28"/>
    <w:rsid w:val="001C1CA5"/>
    <w:rsid w:val="001C2B07"/>
    <w:rsid w:val="001C6A89"/>
    <w:rsid w:val="001D0913"/>
    <w:rsid w:val="001D27D1"/>
    <w:rsid w:val="001D5241"/>
    <w:rsid w:val="001E14E9"/>
    <w:rsid w:val="001E1CF0"/>
    <w:rsid w:val="001E6F23"/>
    <w:rsid w:val="001E76C0"/>
    <w:rsid w:val="001F0F03"/>
    <w:rsid w:val="001F64EE"/>
    <w:rsid w:val="00202AE9"/>
    <w:rsid w:val="00203BD9"/>
    <w:rsid w:val="00205070"/>
    <w:rsid w:val="00206D99"/>
    <w:rsid w:val="00206E3D"/>
    <w:rsid w:val="00207AF3"/>
    <w:rsid w:val="0021042F"/>
    <w:rsid w:val="00212A54"/>
    <w:rsid w:val="00213B11"/>
    <w:rsid w:val="002147B8"/>
    <w:rsid w:val="00215A6E"/>
    <w:rsid w:val="00215C1A"/>
    <w:rsid w:val="002160FD"/>
    <w:rsid w:val="0021642B"/>
    <w:rsid w:val="002165FE"/>
    <w:rsid w:val="00217D1D"/>
    <w:rsid w:val="00221B26"/>
    <w:rsid w:val="00221B2D"/>
    <w:rsid w:val="00222768"/>
    <w:rsid w:val="002241A6"/>
    <w:rsid w:val="00224BEC"/>
    <w:rsid w:val="002251CF"/>
    <w:rsid w:val="00225539"/>
    <w:rsid w:val="00225989"/>
    <w:rsid w:val="00226F75"/>
    <w:rsid w:val="0022700C"/>
    <w:rsid w:val="002271E3"/>
    <w:rsid w:val="00227613"/>
    <w:rsid w:val="00227E9E"/>
    <w:rsid w:val="002329FC"/>
    <w:rsid w:val="00235698"/>
    <w:rsid w:val="002357D9"/>
    <w:rsid w:val="00237062"/>
    <w:rsid w:val="0023724C"/>
    <w:rsid w:val="00246295"/>
    <w:rsid w:val="00246A05"/>
    <w:rsid w:val="00250C93"/>
    <w:rsid w:val="0025570E"/>
    <w:rsid w:val="00256C6F"/>
    <w:rsid w:val="0025737A"/>
    <w:rsid w:val="00262533"/>
    <w:rsid w:val="00264030"/>
    <w:rsid w:val="0027183A"/>
    <w:rsid w:val="002744CA"/>
    <w:rsid w:val="0027465C"/>
    <w:rsid w:val="002774DC"/>
    <w:rsid w:val="0028336C"/>
    <w:rsid w:val="00283D99"/>
    <w:rsid w:val="00285C0A"/>
    <w:rsid w:val="00286EA0"/>
    <w:rsid w:val="0028730F"/>
    <w:rsid w:val="00290849"/>
    <w:rsid w:val="002915C8"/>
    <w:rsid w:val="00291896"/>
    <w:rsid w:val="00295797"/>
    <w:rsid w:val="00296EF6"/>
    <w:rsid w:val="002A0F0F"/>
    <w:rsid w:val="002A3760"/>
    <w:rsid w:val="002A4316"/>
    <w:rsid w:val="002A6615"/>
    <w:rsid w:val="002B22BC"/>
    <w:rsid w:val="002B2D94"/>
    <w:rsid w:val="002B2EDE"/>
    <w:rsid w:val="002B48ED"/>
    <w:rsid w:val="002B556B"/>
    <w:rsid w:val="002B6433"/>
    <w:rsid w:val="002C0DEB"/>
    <w:rsid w:val="002C62D1"/>
    <w:rsid w:val="002C7A49"/>
    <w:rsid w:val="002C7B29"/>
    <w:rsid w:val="002D6D54"/>
    <w:rsid w:val="002D70A3"/>
    <w:rsid w:val="002D738C"/>
    <w:rsid w:val="002D764F"/>
    <w:rsid w:val="002D7A72"/>
    <w:rsid w:val="002E239F"/>
    <w:rsid w:val="002E27FD"/>
    <w:rsid w:val="002E5E82"/>
    <w:rsid w:val="002E693B"/>
    <w:rsid w:val="002F058E"/>
    <w:rsid w:val="002F226C"/>
    <w:rsid w:val="002F3AD8"/>
    <w:rsid w:val="002F6041"/>
    <w:rsid w:val="0030237B"/>
    <w:rsid w:val="003025DF"/>
    <w:rsid w:val="00303F51"/>
    <w:rsid w:val="0031067B"/>
    <w:rsid w:val="00310A5F"/>
    <w:rsid w:val="00311865"/>
    <w:rsid w:val="003121CC"/>
    <w:rsid w:val="0031372E"/>
    <w:rsid w:val="00315143"/>
    <w:rsid w:val="00317ACC"/>
    <w:rsid w:val="00324B21"/>
    <w:rsid w:val="003257EA"/>
    <w:rsid w:val="00336B2D"/>
    <w:rsid w:val="00350077"/>
    <w:rsid w:val="003504E7"/>
    <w:rsid w:val="003533CB"/>
    <w:rsid w:val="00353FBA"/>
    <w:rsid w:val="003629FD"/>
    <w:rsid w:val="00362B7D"/>
    <w:rsid w:val="00364726"/>
    <w:rsid w:val="00365C10"/>
    <w:rsid w:val="00366A4C"/>
    <w:rsid w:val="00367383"/>
    <w:rsid w:val="00371506"/>
    <w:rsid w:val="00372683"/>
    <w:rsid w:val="0037680B"/>
    <w:rsid w:val="00381ED8"/>
    <w:rsid w:val="00386367"/>
    <w:rsid w:val="00387AAC"/>
    <w:rsid w:val="003905DD"/>
    <w:rsid w:val="00390E8E"/>
    <w:rsid w:val="00391B94"/>
    <w:rsid w:val="00392141"/>
    <w:rsid w:val="00393836"/>
    <w:rsid w:val="00395EA9"/>
    <w:rsid w:val="0039657A"/>
    <w:rsid w:val="003A2F22"/>
    <w:rsid w:val="003A3AC8"/>
    <w:rsid w:val="003A6BAC"/>
    <w:rsid w:val="003B3ABE"/>
    <w:rsid w:val="003B421F"/>
    <w:rsid w:val="003C005D"/>
    <w:rsid w:val="003C1D0A"/>
    <w:rsid w:val="003D0404"/>
    <w:rsid w:val="003D28A1"/>
    <w:rsid w:val="003D4AA6"/>
    <w:rsid w:val="003D4CF5"/>
    <w:rsid w:val="003E0B6F"/>
    <w:rsid w:val="003E3438"/>
    <w:rsid w:val="003E3F20"/>
    <w:rsid w:val="003E422F"/>
    <w:rsid w:val="003E6925"/>
    <w:rsid w:val="003F04BA"/>
    <w:rsid w:val="003F1242"/>
    <w:rsid w:val="003F20B3"/>
    <w:rsid w:val="003F310E"/>
    <w:rsid w:val="003F394B"/>
    <w:rsid w:val="003F6AC3"/>
    <w:rsid w:val="003F781B"/>
    <w:rsid w:val="0040026F"/>
    <w:rsid w:val="004029E5"/>
    <w:rsid w:val="00404924"/>
    <w:rsid w:val="00405456"/>
    <w:rsid w:val="004056D7"/>
    <w:rsid w:val="0040600F"/>
    <w:rsid w:val="0040639A"/>
    <w:rsid w:val="0040795D"/>
    <w:rsid w:val="004111A6"/>
    <w:rsid w:val="00412CE1"/>
    <w:rsid w:val="00413CC3"/>
    <w:rsid w:val="00414082"/>
    <w:rsid w:val="00421276"/>
    <w:rsid w:val="00421540"/>
    <w:rsid w:val="00426DA3"/>
    <w:rsid w:val="00432479"/>
    <w:rsid w:val="00433196"/>
    <w:rsid w:val="004337A2"/>
    <w:rsid w:val="004347B7"/>
    <w:rsid w:val="00434B89"/>
    <w:rsid w:val="00435F91"/>
    <w:rsid w:val="004403ED"/>
    <w:rsid w:val="00441641"/>
    <w:rsid w:val="0044252E"/>
    <w:rsid w:val="00444B83"/>
    <w:rsid w:val="00446035"/>
    <w:rsid w:val="00447AC0"/>
    <w:rsid w:val="00450216"/>
    <w:rsid w:val="00453C9F"/>
    <w:rsid w:val="004570F3"/>
    <w:rsid w:val="00457608"/>
    <w:rsid w:val="0045762D"/>
    <w:rsid w:val="00463244"/>
    <w:rsid w:val="00470968"/>
    <w:rsid w:val="00472908"/>
    <w:rsid w:val="00473621"/>
    <w:rsid w:val="00475AAB"/>
    <w:rsid w:val="00477902"/>
    <w:rsid w:val="00477B98"/>
    <w:rsid w:val="004800A5"/>
    <w:rsid w:val="00480694"/>
    <w:rsid w:val="00483398"/>
    <w:rsid w:val="004834C5"/>
    <w:rsid w:val="004841C0"/>
    <w:rsid w:val="00484423"/>
    <w:rsid w:val="0049101B"/>
    <w:rsid w:val="004920C6"/>
    <w:rsid w:val="0049264A"/>
    <w:rsid w:val="00492E47"/>
    <w:rsid w:val="00493AF9"/>
    <w:rsid w:val="00493E8A"/>
    <w:rsid w:val="004967F5"/>
    <w:rsid w:val="00497B0C"/>
    <w:rsid w:val="004A4C99"/>
    <w:rsid w:val="004A4EFF"/>
    <w:rsid w:val="004A6991"/>
    <w:rsid w:val="004A76CD"/>
    <w:rsid w:val="004B0012"/>
    <w:rsid w:val="004B2C80"/>
    <w:rsid w:val="004B4647"/>
    <w:rsid w:val="004B4AF1"/>
    <w:rsid w:val="004B66FF"/>
    <w:rsid w:val="004C2A0D"/>
    <w:rsid w:val="004C381F"/>
    <w:rsid w:val="004C4226"/>
    <w:rsid w:val="004C4C15"/>
    <w:rsid w:val="004C53A8"/>
    <w:rsid w:val="004C66B4"/>
    <w:rsid w:val="004D01EC"/>
    <w:rsid w:val="004D3394"/>
    <w:rsid w:val="004D376E"/>
    <w:rsid w:val="004D4348"/>
    <w:rsid w:val="004D4547"/>
    <w:rsid w:val="004D5DC4"/>
    <w:rsid w:val="004E0C3E"/>
    <w:rsid w:val="004E37EA"/>
    <w:rsid w:val="004E3CFF"/>
    <w:rsid w:val="004E3E27"/>
    <w:rsid w:val="004E3EC6"/>
    <w:rsid w:val="004E4BFC"/>
    <w:rsid w:val="004E4C6F"/>
    <w:rsid w:val="004F2DE7"/>
    <w:rsid w:val="004F52B9"/>
    <w:rsid w:val="004F6BF8"/>
    <w:rsid w:val="00501970"/>
    <w:rsid w:val="00502DA1"/>
    <w:rsid w:val="00502DB0"/>
    <w:rsid w:val="005054CA"/>
    <w:rsid w:val="00510A91"/>
    <w:rsid w:val="00510E56"/>
    <w:rsid w:val="00513D82"/>
    <w:rsid w:val="0051794F"/>
    <w:rsid w:val="00522E39"/>
    <w:rsid w:val="005236E1"/>
    <w:rsid w:val="00524319"/>
    <w:rsid w:val="00526DF2"/>
    <w:rsid w:val="00527985"/>
    <w:rsid w:val="005301B4"/>
    <w:rsid w:val="0053168E"/>
    <w:rsid w:val="005321AE"/>
    <w:rsid w:val="00534938"/>
    <w:rsid w:val="00535FFE"/>
    <w:rsid w:val="00541C74"/>
    <w:rsid w:val="00546A4A"/>
    <w:rsid w:val="00547C21"/>
    <w:rsid w:val="00556F6D"/>
    <w:rsid w:val="00562A58"/>
    <w:rsid w:val="005661AE"/>
    <w:rsid w:val="00566750"/>
    <w:rsid w:val="00566CD7"/>
    <w:rsid w:val="00566E70"/>
    <w:rsid w:val="00567C18"/>
    <w:rsid w:val="00570BD8"/>
    <w:rsid w:val="00570EF2"/>
    <w:rsid w:val="00573364"/>
    <w:rsid w:val="00576E5E"/>
    <w:rsid w:val="00577598"/>
    <w:rsid w:val="00577D0B"/>
    <w:rsid w:val="00581D70"/>
    <w:rsid w:val="005820D7"/>
    <w:rsid w:val="00582721"/>
    <w:rsid w:val="005907C6"/>
    <w:rsid w:val="00591288"/>
    <w:rsid w:val="00596F06"/>
    <w:rsid w:val="005A0128"/>
    <w:rsid w:val="005A099E"/>
    <w:rsid w:val="005A0D87"/>
    <w:rsid w:val="005A40AE"/>
    <w:rsid w:val="005A746B"/>
    <w:rsid w:val="005B54B3"/>
    <w:rsid w:val="005B7ABA"/>
    <w:rsid w:val="005C37EF"/>
    <w:rsid w:val="005C59AB"/>
    <w:rsid w:val="005C6CF9"/>
    <w:rsid w:val="005D0E10"/>
    <w:rsid w:val="005D17CC"/>
    <w:rsid w:val="005D19F1"/>
    <w:rsid w:val="005D2D5E"/>
    <w:rsid w:val="005D2E66"/>
    <w:rsid w:val="005D385A"/>
    <w:rsid w:val="005D4705"/>
    <w:rsid w:val="005D4EC2"/>
    <w:rsid w:val="005D54A4"/>
    <w:rsid w:val="005D6596"/>
    <w:rsid w:val="005D7349"/>
    <w:rsid w:val="005E227F"/>
    <w:rsid w:val="005E259A"/>
    <w:rsid w:val="005E2C19"/>
    <w:rsid w:val="005E7007"/>
    <w:rsid w:val="005E7912"/>
    <w:rsid w:val="005F10BC"/>
    <w:rsid w:val="006013D1"/>
    <w:rsid w:val="00601F9A"/>
    <w:rsid w:val="006044DF"/>
    <w:rsid w:val="00605DFE"/>
    <w:rsid w:val="00606189"/>
    <w:rsid w:val="006071D2"/>
    <w:rsid w:val="00607E51"/>
    <w:rsid w:val="00611B04"/>
    <w:rsid w:val="006126CE"/>
    <w:rsid w:val="00614084"/>
    <w:rsid w:val="00615015"/>
    <w:rsid w:val="006152AD"/>
    <w:rsid w:val="00615B66"/>
    <w:rsid w:val="0061725C"/>
    <w:rsid w:val="006176B4"/>
    <w:rsid w:val="00617DF4"/>
    <w:rsid w:val="00620D56"/>
    <w:rsid w:val="00621689"/>
    <w:rsid w:val="00621AB9"/>
    <w:rsid w:val="0062782B"/>
    <w:rsid w:val="00630887"/>
    <w:rsid w:val="00631DDD"/>
    <w:rsid w:val="00632066"/>
    <w:rsid w:val="00632692"/>
    <w:rsid w:val="00636DBA"/>
    <w:rsid w:val="00637369"/>
    <w:rsid w:val="00643880"/>
    <w:rsid w:val="00646344"/>
    <w:rsid w:val="00646573"/>
    <w:rsid w:val="006467C6"/>
    <w:rsid w:val="006468B1"/>
    <w:rsid w:val="00651256"/>
    <w:rsid w:val="00654EEA"/>
    <w:rsid w:val="0065504F"/>
    <w:rsid w:val="006552CE"/>
    <w:rsid w:val="00655462"/>
    <w:rsid w:val="00655EF2"/>
    <w:rsid w:val="006563C9"/>
    <w:rsid w:val="00657846"/>
    <w:rsid w:val="00660E62"/>
    <w:rsid w:val="00660F55"/>
    <w:rsid w:val="0066210F"/>
    <w:rsid w:val="00662D2C"/>
    <w:rsid w:val="00665BA3"/>
    <w:rsid w:val="00671C56"/>
    <w:rsid w:val="00673A59"/>
    <w:rsid w:val="00673E3E"/>
    <w:rsid w:val="00674A11"/>
    <w:rsid w:val="0067518F"/>
    <w:rsid w:val="00680D61"/>
    <w:rsid w:val="006821AA"/>
    <w:rsid w:val="0068397A"/>
    <w:rsid w:val="00684B4D"/>
    <w:rsid w:val="00685274"/>
    <w:rsid w:val="006871A8"/>
    <w:rsid w:val="00692211"/>
    <w:rsid w:val="00693A97"/>
    <w:rsid w:val="00693F3C"/>
    <w:rsid w:val="00694E00"/>
    <w:rsid w:val="006958DA"/>
    <w:rsid w:val="0069668C"/>
    <w:rsid w:val="006A0D6A"/>
    <w:rsid w:val="006A0DDA"/>
    <w:rsid w:val="006A2101"/>
    <w:rsid w:val="006A42E8"/>
    <w:rsid w:val="006A7780"/>
    <w:rsid w:val="006B1801"/>
    <w:rsid w:val="006B4CD4"/>
    <w:rsid w:val="006C1983"/>
    <w:rsid w:val="006C5187"/>
    <w:rsid w:val="006D03AA"/>
    <w:rsid w:val="006D18D0"/>
    <w:rsid w:val="006D443D"/>
    <w:rsid w:val="006D45EA"/>
    <w:rsid w:val="006D5E09"/>
    <w:rsid w:val="006E1E12"/>
    <w:rsid w:val="006E2328"/>
    <w:rsid w:val="006E396F"/>
    <w:rsid w:val="006E3AF6"/>
    <w:rsid w:val="006E4AEB"/>
    <w:rsid w:val="006E687F"/>
    <w:rsid w:val="006E7DAB"/>
    <w:rsid w:val="006F08EC"/>
    <w:rsid w:val="006F194A"/>
    <w:rsid w:val="006F236F"/>
    <w:rsid w:val="006F30EE"/>
    <w:rsid w:val="006F3225"/>
    <w:rsid w:val="006F55E4"/>
    <w:rsid w:val="006F7AB4"/>
    <w:rsid w:val="0070131D"/>
    <w:rsid w:val="00702BBE"/>
    <w:rsid w:val="00703B3C"/>
    <w:rsid w:val="00707A3B"/>
    <w:rsid w:val="00712405"/>
    <w:rsid w:val="00713A38"/>
    <w:rsid w:val="00720B33"/>
    <w:rsid w:val="00720E2B"/>
    <w:rsid w:val="00721C3D"/>
    <w:rsid w:val="00722328"/>
    <w:rsid w:val="007259E0"/>
    <w:rsid w:val="00731175"/>
    <w:rsid w:val="0073210F"/>
    <w:rsid w:val="007360DE"/>
    <w:rsid w:val="00737E82"/>
    <w:rsid w:val="00740225"/>
    <w:rsid w:val="00740F82"/>
    <w:rsid w:val="007444C6"/>
    <w:rsid w:val="0074485E"/>
    <w:rsid w:val="00745FF9"/>
    <w:rsid w:val="00750770"/>
    <w:rsid w:val="00755254"/>
    <w:rsid w:val="00762CAE"/>
    <w:rsid w:val="00763234"/>
    <w:rsid w:val="00765C3D"/>
    <w:rsid w:val="0077403A"/>
    <w:rsid w:val="007775D4"/>
    <w:rsid w:val="0078175D"/>
    <w:rsid w:val="0078216C"/>
    <w:rsid w:val="00784A16"/>
    <w:rsid w:val="00787D2B"/>
    <w:rsid w:val="00790418"/>
    <w:rsid w:val="0079104F"/>
    <w:rsid w:val="007917A2"/>
    <w:rsid w:val="007943BC"/>
    <w:rsid w:val="00795093"/>
    <w:rsid w:val="007A0D77"/>
    <w:rsid w:val="007A302F"/>
    <w:rsid w:val="007A3B65"/>
    <w:rsid w:val="007A5C6C"/>
    <w:rsid w:val="007A64C4"/>
    <w:rsid w:val="007A6783"/>
    <w:rsid w:val="007A6F01"/>
    <w:rsid w:val="007B0D15"/>
    <w:rsid w:val="007B20B8"/>
    <w:rsid w:val="007B3694"/>
    <w:rsid w:val="007B4D79"/>
    <w:rsid w:val="007C0100"/>
    <w:rsid w:val="007C1DD5"/>
    <w:rsid w:val="007C2D75"/>
    <w:rsid w:val="007C4F66"/>
    <w:rsid w:val="007C695D"/>
    <w:rsid w:val="007C70CE"/>
    <w:rsid w:val="007D256C"/>
    <w:rsid w:val="007D26CC"/>
    <w:rsid w:val="007D698B"/>
    <w:rsid w:val="007D7FEA"/>
    <w:rsid w:val="007E1422"/>
    <w:rsid w:val="007E1FB8"/>
    <w:rsid w:val="007E2798"/>
    <w:rsid w:val="007E354D"/>
    <w:rsid w:val="007E4D7E"/>
    <w:rsid w:val="007F59F7"/>
    <w:rsid w:val="007F5D94"/>
    <w:rsid w:val="007F6F5B"/>
    <w:rsid w:val="00800AE9"/>
    <w:rsid w:val="00802ACE"/>
    <w:rsid w:val="00806889"/>
    <w:rsid w:val="00806F8F"/>
    <w:rsid w:val="00807C94"/>
    <w:rsid w:val="008137FF"/>
    <w:rsid w:val="00814A03"/>
    <w:rsid w:val="00816597"/>
    <w:rsid w:val="00820EAC"/>
    <w:rsid w:val="0083105D"/>
    <w:rsid w:val="008330BC"/>
    <w:rsid w:val="00833C56"/>
    <w:rsid w:val="00835406"/>
    <w:rsid w:val="0083762F"/>
    <w:rsid w:val="00840366"/>
    <w:rsid w:val="0084145F"/>
    <w:rsid w:val="0084348C"/>
    <w:rsid w:val="00846714"/>
    <w:rsid w:val="00846F82"/>
    <w:rsid w:val="0085053F"/>
    <w:rsid w:val="00852AEB"/>
    <w:rsid w:val="00852C36"/>
    <w:rsid w:val="00853F56"/>
    <w:rsid w:val="00862411"/>
    <w:rsid w:val="00862F9A"/>
    <w:rsid w:val="0086386B"/>
    <w:rsid w:val="00863C67"/>
    <w:rsid w:val="00863DEA"/>
    <w:rsid w:val="00866885"/>
    <w:rsid w:val="00867AD6"/>
    <w:rsid w:val="00870193"/>
    <w:rsid w:val="00875DDD"/>
    <w:rsid w:val="008774D9"/>
    <w:rsid w:val="00877EDE"/>
    <w:rsid w:val="0088024B"/>
    <w:rsid w:val="00882DC4"/>
    <w:rsid w:val="00884F69"/>
    <w:rsid w:val="0088551A"/>
    <w:rsid w:val="00885AB9"/>
    <w:rsid w:val="0089147D"/>
    <w:rsid w:val="00891E67"/>
    <w:rsid w:val="00895563"/>
    <w:rsid w:val="00896758"/>
    <w:rsid w:val="008A1332"/>
    <w:rsid w:val="008A1464"/>
    <w:rsid w:val="008A56EB"/>
    <w:rsid w:val="008B08DA"/>
    <w:rsid w:val="008B1F3B"/>
    <w:rsid w:val="008B2D78"/>
    <w:rsid w:val="008B4225"/>
    <w:rsid w:val="008B5681"/>
    <w:rsid w:val="008B6654"/>
    <w:rsid w:val="008B7D57"/>
    <w:rsid w:val="008C17AB"/>
    <w:rsid w:val="008D02E4"/>
    <w:rsid w:val="008D0F67"/>
    <w:rsid w:val="008D1E7B"/>
    <w:rsid w:val="008D2689"/>
    <w:rsid w:val="008D2782"/>
    <w:rsid w:val="008D7B51"/>
    <w:rsid w:val="008E0CBE"/>
    <w:rsid w:val="008E30E3"/>
    <w:rsid w:val="008E666E"/>
    <w:rsid w:val="008E7256"/>
    <w:rsid w:val="008F1CAB"/>
    <w:rsid w:val="008F3745"/>
    <w:rsid w:val="008F3F18"/>
    <w:rsid w:val="008F4B41"/>
    <w:rsid w:val="008F55D0"/>
    <w:rsid w:val="008F6D12"/>
    <w:rsid w:val="00901BE6"/>
    <w:rsid w:val="00905DA7"/>
    <w:rsid w:val="00906125"/>
    <w:rsid w:val="0091118F"/>
    <w:rsid w:val="00916961"/>
    <w:rsid w:val="00917378"/>
    <w:rsid w:val="00920306"/>
    <w:rsid w:val="0092157C"/>
    <w:rsid w:val="00921829"/>
    <w:rsid w:val="00922BC1"/>
    <w:rsid w:val="00922C99"/>
    <w:rsid w:val="00923FC5"/>
    <w:rsid w:val="00924D87"/>
    <w:rsid w:val="00924DCC"/>
    <w:rsid w:val="009257F3"/>
    <w:rsid w:val="009308FA"/>
    <w:rsid w:val="00931E6E"/>
    <w:rsid w:val="009354DD"/>
    <w:rsid w:val="00937C91"/>
    <w:rsid w:val="009459F4"/>
    <w:rsid w:val="00946F79"/>
    <w:rsid w:val="00950F28"/>
    <w:rsid w:val="0095170B"/>
    <w:rsid w:val="009518CA"/>
    <w:rsid w:val="0095262A"/>
    <w:rsid w:val="009527F5"/>
    <w:rsid w:val="00953D4D"/>
    <w:rsid w:val="00956A05"/>
    <w:rsid w:val="00956A80"/>
    <w:rsid w:val="00961021"/>
    <w:rsid w:val="0096207A"/>
    <w:rsid w:val="00962DE0"/>
    <w:rsid w:val="00962F81"/>
    <w:rsid w:val="0096365C"/>
    <w:rsid w:val="00970F69"/>
    <w:rsid w:val="00975B89"/>
    <w:rsid w:val="00980372"/>
    <w:rsid w:val="00980DEE"/>
    <w:rsid w:val="009852AA"/>
    <w:rsid w:val="00985540"/>
    <w:rsid w:val="00994988"/>
    <w:rsid w:val="00996A29"/>
    <w:rsid w:val="00997054"/>
    <w:rsid w:val="009A3C41"/>
    <w:rsid w:val="009B5306"/>
    <w:rsid w:val="009B7B9C"/>
    <w:rsid w:val="009B7CF6"/>
    <w:rsid w:val="009C10AE"/>
    <w:rsid w:val="009C12EE"/>
    <w:rsid w:val="009C2800"/>
    <w:rsid w:val="009C42B6"/>
    <w:rsid w:val="009C74A7"/>
    <w:rsid w:val="009D0DFA"/>
    <w:rsid w:val="009D3CF0"/>
    <w:rsid w:val="009D429E"/>
    <w:rsid w:val="009D4974"/>
    <w:rsid w:val="009D67FC"/>
    <w:rsid w:val="009E0AE3"/>
    <w:rsid w:val="009E2AB4"/>
    <w:rsid w:val="009E4AE0"/>
    <w:rsid w:val="009E50C6"/>
    <w:rsid w:val="009E5921"/>
    <w:rsid w:val="009E6DBB"/>
    <w:rsid w:val="009E770D"/>
    <w:rsid w:val="009F05B0"/>
    <w:rsid w:val="009F0914"/>
    <w:rsid w:val="009F133E"/>
    <w:rsid w:val="009F1431"/>
    <w:rsid w:val="009F20F8"/>
    <w:rsid w:val="009F318D"/>
    <w:rsid w:val="009F3EDC"/>
    <w:rsid w:val="009F55D2"/>
    <w:rsid w:val="009F64C6"/>
    <w:rsid w:val="00A03132"/>
    <w:rsid w:val="00A04955"/>
    <w:rsid w:val="00A06E18"/>
    <w:rsid w:val="00A06E60"/>
    <w:rsid w:val="00A0738A"/>
    <w:rsid w:val="00A07E52"/>
    <w:rsid w:val="00A10BB6"/>
    <w:rsid w:val="00A1161C"/>
    <w:rsid w:val="00A124D3"/>
    <w:rsid w:val="00A13E3B"/>
    <w:rsid w:val="00A14663"/>
    <w:rsid w:val="00A147A6"/>
    <w:rsid w:val="00A1484C"/>
    <w:rsid w:val="00A2252C"/>
    <w:rsid w:val="00A241FD"/>
    <w:rsid w:val="00A25F69"/>
    <w:rsid w:val="00A317B5"/>
    <w:rsid w:val="00A33421"/>
    <w:rsid w:val="00A34C64"/>
    <w:rsid w:val="00A34F9B"/>
    <w:rsid w:val="00A353D2"/>
    <w:rsid w:val="00A36C46"/>
    <w:rsid w:val="00A4141F"/>
    <w:rsid w:val="00A448F6"/>
    <w:rsid w:val="00A467CC"/>
    <w:rsid w:val="00A63DAC"/>
    <w:rsid w:val="00A6433C"/>
    <w:rsid w:val="00A64F1B"/>
    <w:rsid w:val="00A66DFC"/>
    <w:rsid w:val="00A704A8"/>
    <w:rsid w:val="00A70C4A"/>
    <w:rsid w:val="00A727E3"/>
    <w:rsid w:val="00A735EA"/>
    <w:rsid w:val="00A73FDC"/>
    <w:rsid w:val="00A74021"/>
    <w:rsid w:val="00A75810"/>
    <w:rsid w:val="00A75906"/>
    <w:rsid w:val="00A80737"/>
    <w:rsid w:val="00A809C4"/>
    <w:rsid w:val="00A81A57"/>
    <w:rsid w:val="00A8381D"/>
    <w:rsid w:val="00A83DB4"/>
    <w:rsid w:val="00A84C14"/>
    <w:rsid w:val="00A86050"/>
    <w:rsid w:val="00A8695F"/>
    <w:rsid w:val="00A903D4"/>
    <w:rsid w:val="00A92C5B"/>
    <w:rsid w:val="00A9369B"/>
    <w:rsid w:val="00A93917"/>
    <w:rsid w:val="00A94A8D"/>
    <w:rsid w:val="00A95D1D"/>
    <w:rsid w:val="00A97149"/>
    <w:rsid w:val="00AA0160"/>
    <w:rsid w:val="00AA03B9"/>
    <w:rsid w:val="00AA1056"/>
    <w:rsid w:val="00AA1581"/>
    <w:rsid w:val="00AA247B"/>
    <w:rsid w:val="00AA268C"/>
    <w:rsid w:val="00AA3847"/>
    <w:rsid w:val="00AA46DB"/>
    <w:rsid w:val="00AA7146"/>
    <w:rsid w:val="00AB04DC"/>
    <w:rsid w:val="00AB1DD7"/>
    <w:rsid w:val="00AB355A"/>
    <w:rsid w:val="00AB40E8"/>
    <w:rsid w:val="00AB4321"/>
    <w:rsid w:val="00AB43D6"/>
    <w:rsid w:val="00AC2F1D"/>
    <w:rsid w:val="00AC32A3"/>
    <w:rsid w:val="00AC33AE"/>
    <w:rsid w:val="00AC4DF4"/>
    <w:rsid w:val="00AC7E80"/>
    <w:rsid w:val="00AD3440"/>
    <w:rsid w:val="00AD3D16"/>
    <w:rsid w:val="00AD5735"/>
    <w:rsid w:val="00AD7CA6"/>
    <w:rsid w:val="00AE08DC"/>
    <w:rsid w:val="00AE1FDE"/>
    <w:rsid w:val="00AE250D"/>
    <w:rsid w:val="00AE5E1E"/>
    <w:rsid w:val="00AE6E2D"/>
    <w:rsid w:val="00AE6FAE"/>
    <w:rsid w:val="00AE769C"/>
    <w:rsid w:val="00AF2B91"/>
    <w:rsid w:val="00AF3711"/>
    <w:rsid w:val="00AF4FBD"/>
    <w:rsid w:val="00AF5F52"/>
    <w:rsid w:val="00AF6989"/>
    <w:rsid w:val="00B02B89"/>
    <w:rsid w:val="00B04C33"/>
    <w:rsid w:val="00B07A67"/>
    <w:rsid w:val="00B10488"/>
    <w:rsid w:val="00B14AE4"/>
    <w:rsid w:val="00B17563"/>
    <w:rsid w:val="00B20906"/>
    <w:rsid w:val="00B21EAC"/>
    <w:rsid w:val="00B223CF"/>
    <w:rsid w:val="00B23D5B"/>
    <w:rsid w:val="00B2555E"/>
    <w:rsid w:val="00B2639E"/>
    <w:rsid w:val="00B264C2"/>
    <w:rsid w:val="00B26D84"/>
    <w:rsid w:val="00B2735A"/>
    <w:rsid w:val="00B3374D"/>
    <w:rsid w:val="00B33CD2"/>
    <w:rsid w:val="00B36AAB"/>
    <w:rsid w:val="00B402A6"/>
    <w:rsid w:val="00B40CC4"/>
    <w:rsid w:val="00B40DAD"/>
    <w:rsid w:val="00B40E65"/>
    <w:rsid w:val="00B4108D"/>
    <w:rsid w:val="00B42B07"/>
    <w:rsid w:val="00B46FF0"/>
    <w:rsid w:val="00B47297"/>
    <w:rsid w:val="00B5262E"/>
    <w:rsid w:val="00B5318D"/>
    <w:rsid w:val="00B556B5"/>
    <w:rsid w:val="00B60A93"/>
    <w:rsid w:val="00B60C2E"/>
    <w:rsid w:val="00B63031"/>
    <w:rsid w:val="00B66BA9"/>
    <w:rsid w:val="00B73103"/>
    <w:rsid w:val="00B7536E"/>
    <w:rsid w:val="00B82891"/>
    <w:rsid w:val="00B83ED3"/>
    <w:rsid w:val="00B844F4"/>
    <w:rsid w:val="00B84A2A"/>
    <w:rsid w:val="00B84AE3"/>
    <w:rsid w:val="00B855B8"/>
    <w:rsid w:val="00B93D60"/>
    <w:rsid w:val="00B94FA9"/>
    <w:rsid w:val="00B961C7"/>
    <w:rsid w:val="00B96A42"/>
    <w:rsid w:val="00BA09E9"/>
    <w:rsid w:val="00BA0CAA"/>
    <w:rsid w:val="00BA16FA"/>
    <w:rsid w:val="00BA26DA"/>
    <w:rsid w:val="00BA52EA"/>
    <w:rsid w:val="00BA53E6"/>
    <w:rsid w:val="00BB484C"/>
    <w:rsid w:val="00BB586A"/>
    <w:rsid w:val="00BC3C2D"/>
    <w:rsid w:val="00BC5D81"/>
    <w:rsid w:val="00BC7242"/>
    <w:rsid w:val="00BD036B"/>
    <w:rsid w:val="00BD0D7D"/>
    <w:rsid w:val="00BD1032"/>
    <w:rsid w:val="00BD18AF"/>
    <w:rsid w:val="00BD45C2"/>
    <w:rsid w:val="00BD4762"/>
    <w:rsid w:val="00BE28BC"/>
    <w:rsid w:val="00BE2F57"/>
    <w:rsid w:val="00BE55A2"/>
    <w:rsid w:val="00BE5AF2"/>
    <w:rsid w:val="00BE64A3"/>
    <w:rsid w:val="00BF04EE"/>
    <w:rsid w:val="00BF0DCA"/>
    <w:rsid w:val="00BF30A9"/>
    <w:rsid w:val="00BF48B3"/>
    <w:rsid w:val="00BF5BE9"/>
    <w:rsid w:val="00BF5C7F"/>
    <w:rsid w:val="00BF69CD"/>
    <w:rsid w:val="00C00AA0"/>
    <w:rsid w:val="00C04B6D"/>
    <w:rsid w:val="00C12EB9"/>
    <w:rsid w:val="00C16A45"/>
    <w:rsid w:val="00C16E54"/>
    <w:rsid w:val="00C20AE1"/>
    <w:rsid w:val="00C210E5"/>
    <w:rsid w:val="00C24A84"/>
    <w:rsid w:val="00C25032"/>
    <w:rsid w:val="00C25AD3"/>
    <w:rsid w:val="00C26BBD"/>
    <w:rsid w:val="00C2711E"/>
    <w:rsid w:val="00C27E60"/>
    <w:rsid w:val="00C351E8"/>
    <w:rsid w:val="00C3526E"/>
    <w:rsid w:val="00C40E07"/>
    <w:rsid w:val="00C41D52"/>
    <w:rsid w:val="00C43264"/>
    <w:rsid w:val="00C43395"/>
    <w:rsid w:val="00C463B2"/>
    <w:rsid w:val="00C46615"/>
    <w:rsid w:val="00C46FA9"/>
    <w:rsid w:val="00C51546"/>
    <w:rsid w:val="00C54543"/>
    <w:rsid w:val="00C55355"/>
    <w:rsid w:val="00C5738B"/>
    <w:rsid w:val="00C57D02"/>
    <w:rsid w:val="00C62439"/>
    <w:rsid w:val="00C625F3"/>
    <w:rsid w:val="00C66AB6"/>
    <w:rsid w:val="00C66B38"/>
    <w:rsid w:val="00C70701"/>
    <w:rsid w:val="00C733C4"/>
    <w:rsid w:val="00C7372C"/>
    <w:rsid w:val="00C73E99"/>
    <w:rsid w:val="00C75A47"/>
    <w:rsid w:val="00C768F5"/>
    <w:rsid w:val="00C80957"/>
    <w:rsid w:val="00C83BCF"/>
    <w:rsid w:val="00C83EE8"/>
    <w:rsid w:val="00C84267"/>
    <w:rsid w:val="00C850D5"/>
    <w:rsid w:val="00C8548A"/>
    <w:rsid w:val="00C85787"/>
    <w:rsid w:val="00C865FB"/>
    <w:rsid w:val="00C90365"/>
    <w:rsid w:val="00C90E26"/>
    <w:rsid w:val="00CA0DBF"/>
    <w:rsid w:val="00CA2708"/>
    <w:rsid w:val="00CA2B9B"/>
    <w:rsid w:val="00CA2C72"/>
    <w:rsid w:val="00CA3BB8"/>
    <w:rsid w:val="00CA4C89"/>
    <w:rsid w:val="00CB411C"/>
    <w:rsid w:val="00CB67C6"/>
    <w:rsid w:val="00CC065C"/>
    <w:rsid w:val="00CC2A8C"/>
    <w:rsid w:val="00CC2C8D"/>
    <w:rsid w:val="00CC3308"/>
    <w:rsid w:val="00CC7519"/>
    <w:rsid w:val="00CC7FE6"/>
    <w:rsid w:val="00CD3CF7"/>
    <w:rsid w:val="00CD51A5"/>
    <w:rsid w:val="00CD5DDC"/>
    <w:rsid w:val="00CE05A7"/>
    <w:rsid w:val="00CE1EEA"/>
    <w:rsid w:val="00CE388B"/>
    <w:rsid w:val="00CE3F90"/>
    <w:rsid w:val="00CE5307"/>
    <w:rsid w:val="00CE69D7"/>
    <w:rsid w:val="00CE7DB5"/>
    <w:rsid w:val="00CF439B"/>
    <w:rsid w:val="00CF76DE"/>
    <w:rsid w:val="00D00D8C"/>
    <w:rsid w:val="00D02141"/>
    <w:rsid w:val="00D0287D"/>
    <w:rsid w:val="00D03DA2"/>
    <w:rsid w:val="00D047E8"/>
    <w:rsid w:val="00D04AAF"/>
    <w:rsid w:val="00D11F4E"/>
    <w:rsid w:val="00D12461"/>
    <w:rsid w:val="00D167EF"/>
    <w:rsid w:val="00D22BEC"/>
    <w:rsid w:val="00D24CD8"/>
    <w:rsid w:val="00D2517D"/>
    <w:rsid w:val="00D33C66"/>
    <w:rsid w:val="00D34115"/>
    <w:rsid w:val="00D37E1C"/>
    <w:rsid w:val="00D43171"/>
    <w:rsid w:val="00D435D5"/>
    <w:rsid w:val="00D462DC"/>
    <w:rsid w:val="00D4748C"/>
    <w:rsid w:val="00D50269"/>
    <w:rsid w:val="00D50638"/>
    <w:rsid w:val="00D5071E"/>
    <w:rsid w:val="00D52111"/>
    <w:rsid w:val="00D53941"/>
    <w:rsid w:val="00D5431F"/>
    <w:rsid w:val="00D54501"/>
    <w:rsid w:val="00D55D2D"/>
    <w:rsid w:val="00D572C9"/>
    <w:rsid w:val="00D63C98"/>
    <w:rsid w:val="00D644A2"/>
    <w:rsid w:val="00D66FFE"/>
    <w:rsid w:val="00D67F14"/>
    <w:rsid w:val="00D706CA"/>
    <w:rsid w:val="00D71034"/>
    <w:rsid w:val="00D73508"/>
    <w:rsid w:val="00D73BD6"/>
    <w:rsid w:val="00D74B98"/>
    <w:rsid w:val="00D75CC5"/>
    <w:rsid w:val="00D777C0"/>
    <w:rsid w:val="00D814E3"/>
    <w:rsid w:val="00D81CF2"/>
    <w:rsid w:val="00D83861"/>
    <w:rsid w:val="00D83B51"/>
    <w:rsid w:val="00D83CC4"/>
    <w:rsid w:val="00D83E71"/>
    <w:rsid w:val="00D84626"/>
    <w:rsid w:val="00D8483E"/>
    <w:rsid w:val="00D867F6"/>
    <w:rsid w:val="00D93A06"/>
    <w:rsid w:val="00DA1A59"/>
    <w:rsid w:val="00DA374C"/>
    <w:rsid w:val="00DA5045"/>
    <w:rsid w:val="00DA7B55"/>
    <w:rsid w:val="00DB1080"/>
    <w:rsid w:val="00DB14FE"/>
    <w:rsid w:val="00DB6F86"/>
    <w:rsid w:val="00DC0B50"/>
    <w:rsid w:val="00DC0DFE"/>
    <w:rsid w:val="00DC277E"/>
    <w:rsid w:val="00DD0245"/>
    <w:rsid w:val="00DD3B24"/>
    <w:rsid w:val="00DE1D7F"/>
    <w:rsid w:val="00DE3AD4"/>
    <w:rsid w:val="00DE5378"/>
    <w:rsid w:val="00DE5681"/>
    <w:rsid w:val="00DE69C2"/>
    <w:rsid w:val="00DE778F"/>
    <w:rsid w:val="00DE7E55"/>
    <w:rsid w:val="00DF298D"/>
    <w:rsid w:val="00DF3766"/>
    <w:rsid w:val="00DF4BD6"/>
    <w:rsid w:val="00E054ED"/>
    <w:rsid w:val="00E14383"/>
    <w:rsid w:val="00E144AF"/>
    <w:rsid w:val="00E14A12"/>
    <w:rsid w:val="00E155DE"/>
    <w:rsid w:val="00E21682"/>
    <w:rsid w:val="00E21E36"/>
    <w:rsid w:val="00E22301"/>
    <w:rsid w:val="00E25588"/>
    <w:rsid w:val="00E25B79"/>
    <w:rsid w:val="00E33945"/>
    <w:rsid w:val="00E33FAF"/>
    <w:rsid w:val="00E342BD"/>
    <w:rsid w:val="00E40FD5"/>
    <w:rsid w:val="00E417C4"/>
    <w:rsid w:val="00E4189A"/>
    <w:rsid w:val="00E425D6"/>
    <w:rsid w:val="00E43142"/>
    <w:rsid w:val="00E432FC"/>
    <w:rsid w:val="00E44CCB"/>
    <w:rsid w:val="00E44E63"/>
    <w:rsid w:val="00E52BF2"/>
    <w:rsid w:val="00E53887"/>
    <w:rsid w:val="00E545AE"/>
    <w:rsid w:val="00E54CD6"/>
    <w:rsid w:val="00E54D7A"/>
    <w:rsid w:val="00E56D4A"/>
    <w:rsid w:val="00E579A6"/>
    <w:rsid w:val="00E57DDD"/>
    <w:rsid w:val="00E60312"/>
    <w:rsid w:val="00E60922"/>
    <w:rsid w:val="00E60B77"/>
    <w:rsid w:val="00E61C40"/>
    <w:rsid w:val="00E63253"/>
    <w:rsid w:val="00E6491D"/>
    <w:rsid w:val="00E65D41"/>
    <w:rsid w:val="00E67D76"/>
    <w:rsid w:val="00E704E6"/>
    <w:rsid w:val="00E77604"/>
    <w:rsid w:val="00E831D9"/>
    <w:rsid w:val="00E84D1D"/>
    <w:rsid w:val="00E94A3C"/>
    <w:rsid w:val="00E95497"/>
    <w:rsid w:val="00E95EE7"/>
    <w:rsid w:val="00E97922"/>
    <w:rsid w:val="00EA0AE0"/>
    <w:rsid w:val="00EA0C9D"/>
    <w:rsid w:val="00EA1F00"/>
    <w:rsid w:val="00EA2A82"/>
    <w:rsid w:val="00EA7F72"/>
    <w:rsid w:val="00EB0D8C"/>
    <w:rsid w:val="00EB1176"/>
    <w:rsid w:val="00EB2025"/>
    <w:rsid w:val="00EB223E"/>
    <w:rsid w:val="00EB24F1"/>
    <w:rsid w:val="00EB34C6"/>
    <w:rsid w:val="00EB36D1"/>
    <w:rsid w:val="00EB69C2"/>
    <w:rsid w:val="00EB7167"/>
    <w:rsid w:val="00EC6C13"/>
    <w:rsid w:val="00EC7A69"/>
    <w:rsid w:val="00ED1906"/>
    <w:rsid w:val="00ED4D63"/>
    <w:rsid w:val="00ED6951"/>
    <w:rsid w:val="00ED6C69"/>
    <w:rsid w:val="00ED75B2"/>
    <w:rsid w:val="00ED7D33"/>
    <w:rsid w:val="00EE0A69"/>
    <w:rsid w:val="00EE159C"/>
    <w:rsid w:val="00EE3F7C"/>
    <w:rsid w:val="00EE5733"/>
    <w:rsid w:val="00EE6C34"/>
    <w:rsid w:val="00EF096D"/>
    <w:rsid w:val="00EF40E6"/>
    <w:rsid w:val="00EF66E0"/>
    <w:rsid w:val="00EF761A"/>
    <w:rsid w:val="00F0229C"/>
    <w:rsid w:val="00F0342F"/>
    <w:rsid w:val="00F04C13"/>
    <w:rsid w:val="00F105F1"/>
    <w:rsid w:val="00F108C2"/>
    <w:rsid w:val="00F11F4D"/>
    <w:rsid w:val="00F228A6"/>
    <w:rsid w:val="00F22D40"/>
    <w:rsid w:val="00F231E7"/>
    <w:rsid w:val="00F23ACE"/>
    <w:rsid w:val="00F24A90"/>
    <w:rsid w:val="00F26A8A"/>
    <w:rsid w:val="00F27393"/>
    <w:rsid w:val="00F2777A"/>
    <w:rsid w:val="00F313C3"/>
    <w:rsid w:val="00F375A2"/>
    <w:rsid w:val="00F377EB"/>
    <w:rsid w:val="00F42574"/>
    <w:rsid w:val="00F4421A"/>
    <w:rsid w:val="00F446B9"/>
    <w:rsid w:val="00F512DA"/>
    <w:rsid w:val="00F51CC2"/>
    <w:rsid w:val="00F60A26"/>
    <w:rsid w:val="00F62241"/>
    <w:rsid w:val="00F63484"/>
    <w:rsid w:val="00F63E24"/>
    <w:rsid w:val="00F65A62"/>
    <w:rsid w:val="00F66E16"/>
    <w:rsid w:val="00F71D23"/>
    <w:rsid w:val="00F71E66"/>
    <w:rsid w:val="00F73BEB"/>
    <w:rsid w:val="00F75118"/>
    <w:rsid w:val="00F77EC0"/>
    <w:rsid w:val="00F818EE"/>
    <w:rsid w:val="00F81DE5"/>
    <w:rsid w:val="00F82AE2"/>
    <w:rsid w:val="00F82D26"/>
    <w:rsid w:val="00F833E4"/>
    <w:rsid w:val="00F8400B"/>
    <w:rsid w:val="00F84261"/>
    <w:rsid w:val="00F85E59"/>
    <w:rsid w:val="00F86558"/>
    <w:rsid w:val="00F8676F"/>
    <w:rsid w:val="00F87A08"/>
    <w:rsid w:val="00F90587"/>
    <w:rsid w:val="00F91B3F"/>
    <w:rsid w:val="00F94C19"/>
    <w:rsid w:val="00F963AC"/>
    <w:rsid w:val="00F9732A"/>
    <w:rsid w:val="00FA1515"/>
    <w:rsid w:val="00FA3139"/>
    <w:rsid w:val="00FA3577"/>
    <w:rsid w:val="00FA6631"/>
    <w:rsid w:val="00FA6C8D"/>
    <w:rsid w:val="00FA7E30"/>
    <w:rsid w:val="00FB5089"/>
    <w:rsid w:val="00FB59BF"/>
    <w:rsid w:val="00FB6BD5"/>
    <w:rsid w:val="00FB7E8D"/>
    <w:rsid w:val="00FC1F43"/>
    <w:rsid w:val="00FC3523"/>
    <w:rsid w:val="00FC53E7"/>
    <w:rsid w:val="00FC60D6"/>
    <w:rsid w:val="00FD0430"/>
    <w:rsid w:val="00FD2502"/>
    <w:rsid w:val="00FD6BC2"/>
    <w:rsid w:val="00FE0EC9"/>
    <w:rsid w:val="00FE2A0B"/>
    <w:rsid w:val="00FE4A6B"/>
    <w:rsid w:val="00FE7E4A"/>
    <w:rsid w:val="00FF0D50"/>
    <w:rsid w:val="00FF1DD3"/>
    <w:rsid w:val="00FF29E3"/>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basedOn w:val="a"/>
    <w:link w:val="a7"/>
    <w:uiPriority w:val="99"/>
    <w:rsid w:val="004A4EFF"/>
    <w:pPr>
      <w:spacing w:before="100" w:after="119"/>
    </w:pPr>
    <w:rPr>
      <w:szCs w:val="20"/>
      <w:lang w:eastAsia="ar-SA"/>
    </w:rPr>
  </w:style>
  <w:style w:type="character" w:customStyle="1" w:styleId="a7">
    <w:name w:val="Обычный (веб)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uiPriority w:val="99"/>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rsid w:val="00F62241"/>
    <w:pPr>
      <w:tabs>
        <w:tab w:val="center" w:pos="4677"/>
        <w:tab w:val="right" w:pos="9355"/>
      </w:tabs>
    </w:pPr>
  </w:style>
  <w:style w:type="character" w:customStyle="1" w:styleId="af1">
    <w:name w:val="Верхний колонтитул Знак"/>
    <w:basedOn w:val="a0"/>
    <w:link w:val="af0"/>
    <w:uiPriority w:val="99"/>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uiPriority w:val="99"/>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character" w:customStyle="1" w:styleId="ConsPlusNormal">
    <w:name w:val="ConsPlusNormal Знак"/>
    <w:link w:val="ConsPlusNormal0"/>
    <w:locked/>
    <w:rsid w:val="0040600F"/>
    <w:rPr>
      <w:rFonts w:ascii="Arial" w:hAnsi="Arial" w:cs="Arial"/>
    </w:rPr>
  </w:style>
  <w:style w:type="paragraph" w:customStyle="1" w:styleId="ConsPlusNormal0">
    <w:name w:val="ConsPlusNormal"/>
    <w:link w:val="ConsPlusNormal"/>
    <w:rsid w:val="0040600F"/>
    <w:pPr>
      <w:autoSpaceDE w:val="0"/>
      <w:autoSpaceDN w:val="0"/>
      <w:adjustRightInd w:val="0"/>
      <w:ind w:firstLine="720"/>
    </w:pPr>
    <w:rPr>
      <w:rFonts w:ascii="Arial" w:hAnsi="Arial" w:cs="Arial"/>
    </w:rPr>
  </w:style>
  <w:style w:type="paragraph" w:styleId="afc">
    <w:name w:val="List Paragraph"/>
    <w:basedOn w:val="a"/>
    <w:uiPriority w:val="34"/>
    <w:qFormat/>
    <w:rsid w:val="00E342BD"/>
    <w:pPr>
      <w:spacing w:after="200" w:line="276" w:lineRule="auto"/>
      <w:ind w:left="720"/>
      <w:contextualSpacing/>
    </w:pPr>
    <w:rPr>
      <w:rFonts w:ascii="Calibri" w:hAnsi="Calibri"/>
      <w:sz w:val="22"/>
      <w:szCs w:val="22"/>
      <w:lang w:eastAsia="en-US"/>
    </w:rPr>
  </w:style>
  <w:style w:type="character" w:customStyle="1" w:styleId="14">
    <w:name w:val="Стиль 14 пт"/>
    <w:uiPriority w:val="99"/>
    <w:rsid w:val="00285C0A"/>
    <w:rPr>
      <w:rFonts w:ascii="Times New Roman" w:hAnsi="Times New Roman"/>
      <w:sz w:val="28"/>
    </w:rPr>
  </w:style>
  <w:style w:type="paragraph" w:styleId="afd">
    <w:name w:val="No Spacing"/>
    <w:link w:val="afe"/>
    <w:uiPriority w:val="99"/>
    <w:qFormat/>
    <w:rsid w:val="009308FA"/>
    <w:rPr>
      <w:rFonts w:eastAsia="Times New Roman"/>
    </w:rPr>
  </w:style>
  <w:style w:type="character" w:customStyle="1" w:styleId="afe">
    <w:name w:val="Без интервала Знак"/>
    <w:link w:val="afd"/>
    <w:locked/>
    <w:rsid w:val="009308F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19761136">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850333352">
      <w:bodyDiv w:val="1"/>
      <w:marLeft w:val="0"/>
      <w:marRight w:val="0"/>
      <w:marTop w:val="0"/>
      <w:marBottom w:val="0"/>
      <w:divBdr>
        <w:top w:val="none" w:sz="0" w:space="0" w:color="auto"/>
        <w:left w:val="none" w:sz="0" w:space="0" w:color="auto"/>
        <w:bottom w:val="none" w:sz="0" w:space="0" w:color="auto"/>
        <w:right w:val="none" w:sz="0" w:space="0" w:color="auto"/>
      </w:divBdr>
    </w:div>
    <w:div w:id="880243728">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ro78.fss.ru" TargetMode="External"/><Relationship Id="rId5" Type="http://schemas.openxmlformats.org/officeDocument/2006/relationships/webSettings" Target="webSettings.xml"/><Relationship Id="rId10"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6B5F-7DF4-4002-B77C-D496041D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Чиченкова Наталья Ипполитовна</cp:lastModifiedBy>
  <cp:revision>6</cp:revision>
  <cp:lastPrinted>2022-05-25T13:05:00Z</cp:lastPrinted>
  <dcterms:created xsi:type="dcterms:W3CDTF">2022-10-03T14:08:00Z</dcterms:created>
  <dcterms:modified xsi:type="dcterms:W3CDTF">2022-11-30T08:40:00Z</dcterms:modified>
</cp:coreProperties>
</file>