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34" w:rsidRDefault="00361434" w:rsidP="0036143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3 </w:t>
      </w:r>
    </w:p>
    <w:p w:rsidR="00361434" w:rsidRDefault="00361434" w:rsidP="00361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к Извещению электронного аукциона</w:t>
      </w:r>
    </w:p>
    <w:p w:rsidR="00361434" w:rsidRDefault="00361434" w:rsidP="00ED4CA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B015E" w:rsidRPr="00CD32F9" w:rsidRDefault="00EB015E" w:rsidP="00ED4CA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2F9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:rsidR="0048108C" w:rsidRDefault="00ED4CA8" w:rsidP="0048108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D32F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D32F9" w:rsidRPr="00CD32F9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изготовлению </w:t>
      </w:r>
      <w:proofErr w:type="spellStart"/>
      <w:r w:rsidR="0048108C" w:rsidRPr="004D6110">
        <w:rPr>
          <w:rFonts w:ascii="Times New Roman" w:hAnsi="Times New Roman"/>
          <w:b/>
          <w:color w:val="000000"/>
          <w:sz w:val="24"/>
          <w:szCs w:val="24"/>
        </w:rPr>
        <w:t>ортезов</w:t>
      </w:r>
      <w:proofErr w:type="spellEnd"/>
      <w:r w:rsidR="0048108C" w:rsidRPr="004D611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B015E" w:rsidRDefault="0048108C" w:rsidP="004810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110">
        <w:rPr>
          <w:rFonts w:ascii="Times New Roman" w:hAnsi="Times New Roman"/>
          <w:b/>
          <w:color w:val="000000"/>
          <w:sz w:val="24"/>
          <w:szCs w:val="24"/>
        </w:rPr>
        <w:t xml:space="preserve">на </w:t>
      </w:r>
      <w:r w:rsidR="000E7549" w:rsidRPr="000E7549">
        <w:rPr>
          <w:rFonts w:ascii="Times New Roman" w:hAnsi="Times New Roman" w:cs="Times New Roman"/>
          <w:b/>
          <w:sz w:val="24"/>
          <w:szCs w:val="24"/>
        </w:rPr>
        <w:t>нижние</w:t>
      </w:r>
      <w:r w:rsidRPr="000E7549">
        <w:rPr>
          <w:rFonts w:ascii="Times New Roman" w:hAnsi="Times New Roman" w:cs="Times New Roman"/>
          <w:b/>
          <w:sz w:val="24"/>
          <w:szCs w:val="24"/>
        </w:rPr>
        <w:t xml:space="preserve"> конечности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 w:rsidR="009A3D86" w:rsidRPr="009A3D86">
        <w:rPr>
          <w:rFonts w:ascii="Times New Roman" w:hAnsi="Times New Roman"/>
          <w:b/>
          <w:color w:val="000000"/>
          <w:sz w:val="24"/>
          <w:szCs w:val="24"/>
        </w:rPr>
        <w:t>туторы</w:t>
      </w:r>
      <w:r w:rsidRPr="004D6110">
        <w:rPr>
          <w:rFonts w:ascii="Times New Roman" w:hAnsi="Times New Roman"/>
          <w:b/>
          <w:color w:val="000000"/>
          <w:sz w:val="24"/>
          <w:szCs w:val="24"/>
        </w:rPr>
        <w:t>)</w:t>
      </w:r>
      <w:r w:rsidR="00197C2C">
        <w:rPr>
          <w:rFonts w:ascii="Times New Roman" w:hAnsi="Times New Roman" w:cs="Times New Roman"/>
          <w:b/>
          <w:sz w:val="24"/>
          <w:szCs w:val="24"/>
        </w:rPr>
        <w:t xml:space="preserve"> на 2024 год</w:t>
      </w:r>
    </w:p>
    <w:p w:rsidR="0048108C" w:rsidRPr="00CD32F9" w:rsidRDefault="0048108C" w:rsidP="004810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15E" w:rsidRDefault="00EB015E" w:rsidP="00EB01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7256">
        <w:rPr>
          <w:rFonts w:ascii="Times New Roman" w:hAnsi="Times New Roman" w:cs="Times New Roman"/>
          <w:b/>
          <w:sz w:val="24"/>
          <w:szCs w:val="24"/>
        </w:rPr>
        <w:t xml:space="preserve">Наименование  </w:t>
      </w:r>
      <w:r w:rsidR="003B39BF">
        <w:rPr>
          <w:rFonts w:ascii="Times New Roman" w:hAnsi="Times New Roman"/>
          <w:b/>
          <w:sz w:val="24"/>
          <w:szCs w:val="24"/>
        </w:rPr>
        <w:t>работ</w:t>
      </w:r>
    </w:p>
    <w:p w:rsidR="00252554" w:rsidRDefault="00252554" w:rsidP="00EB01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08C" w:rsidRDefault="000E7549" w:rsidP="0048108C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Ортезы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6D3">
        <w:rPr>
          <w:rFonts w:ascii="Times New Roman" w:hAnsi="Times New Roman" w:cs="Times New Roman"/>
          <w:sz w:val="24"/>
          <w:szCs w:val="24"/>
        </w:rPr>
        <w:t>- техническое устройство, надеваемое на конечность или ее сегмент (сегменты) опорно-двигательного аппарата с целью его фиксации, разгрузки для восстановления нарушенных функций.</w:t>
      </w:r>
    </w:p>
    <w:p w:rsidR="0048108C" w:rsidRDefault="0048108C" w:rsidP="000E754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Срок службы</w:t>
      </w:r>
      <w:r>
        <w:rPr>
          <w:rStyle w:val="af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3F04">
        <w:rPr>
          <w:rFonts w:ascii="Times New Roman" w:hAnsi="Times New Roman"/>
          <w:sz w:val="24"/>
          <w:szCs w:val="24"/>
        </w:rPr>
        <w:t>ортезов</w:t>
      </w:r>
      <w:proofErr w:type="spellEnd"/>
      <w:r w:rsidR="000C3F04">
        <w:rPr>
          <w:rFonts w:ascii="Times New Roman" w:hAnsi="Times New Roman"/>
          <w:sz w:val="24"/>
          <w:szCs w:val="24"/>
        </w:rPr>
        <w:t xml:space="preserve"> (</w:t>
      </w:r>
      <w:r w:rsidR="000E7549" w:rsidRPr="000E7549">
        <w:rPr>
          <w:rFonts w:ascii="Times New Roman" w:hAnsi="Times New Roman" w:cs="Times New Roman"/>
          <w:sz w:val="24"/>
          <w:szCs w:val="24"/>
        </w:rPr>
        <w:t>тутор на голеностопный сустав, тутор косметический на голень, тутор на коленный сустав, тутор на тазобедренный сустав, тутор на коленный и тазобедренный сустав, тутор на всю ногу</w:t>
      </w:r>
      <w:r w:rsidR="000C3F0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D0F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установленный изготовителем составляет _______месяцев (лет), но не менее срока установленного приказом Министерства труда и социальной защиты Российской Федерации от 05 марта 2021 г. № 107н, определяется изготовител</w:t>
      </w:r>
      <w:r w:rsidR="00ED0FF6">
        <w:rPr>
          <w:rFonts w:ascii="Times New Roman" w:hAnsi="Times New Roman"/>
          <w:sz w:val="24"/>
          <w:szCs w:val="24"/>
        </w:rPr>
        <w:t>ем согласно ____</w:t>
      </w:r>
      <w:r>
        <w:rPr>
          <w:rFonts w:ascii="Times New Roman" w:hAnsi="Times New Roman"/>
          <w:sz w:val="24"/>
          <w:szCs w:val="24"/>
        </w:rPr>
        <w:t>___</w:t>
      </w:r>
      <w:r w:rsidR="000E7549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="00ED0FF6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______.</w:t>
      </w:r>
      <w:proofErr w:type="gramEnd"/>
    </w:p>
    <w:p w:rsidR="0048108C" w:rsidRDefault="000E7549" w:rsidP="0048108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</w:t>
      </w:r>
      <w:r w:rsidR="0048108C">
        <w:rPr>
          <w:rFonts w:ascii="Times New Roman" w:hAnsi="Times New Roman"/>
          <w:sz w:val="16"/>
          <w:szCs w:val="16"/>
        </w:rPr>
        <w:t>(указать документ (паспорт на изделие или др.), согласно которому изготовителем определен срок службы изделия).</w:t>
      </w:r>
    </w:p>
    <w:p w:rsidR="0048108C" w:rsidRDefault="0048108C" w:rsidP="0048108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8108C" w:rsidRDefault="0048108C" w:rsidP="004810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 работ</w:t>
      </w:r>
    </w:p>
    <w:p w:rsidR="0048108C" w:rsidRPr="009E2F95" w:rsidRDefault="0048108C" w:rsidP="0048108C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48108C" w:rsidRDefault="000E7549" w:rsidP="0048108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C16D3">
        <w:rPr>
          <w:rFonts w:ascii="Times New Roman" w:hAnsi="Times New Roman" w:cs="Times New Roman"/>
          <w:sz w:val="24"/>
        </w:rPr>
        <w:t xml:space="preserve">Выполнение работ по </w:t>
      </w:r>
      <w:proofErr w:type="spellStart"/>
      <w:r w:rsidRPr="008C16D3">
        <w:rPr>
          <w:rFonts w:ascii="Times New Roman" w:hAnsi="Times New Roman" w:cs="Times New Roman"/>
          <w:sz w:val="24"/>
        </w:rPr>
        <w:t>ортезированию</w:t>
      </w:r>
      <w:proofErr w:type="spellEnd"/>
      <w:r w:rsidRPr="008C16D3">
        <w:rPr>
          <w:rFonts w:ascii="Times New Roman" w:hAnsi="Times New Roman" w:cs="Times New Roman"/>
          <w:sz w:val="24"/>
        </w:rPr>
        <w:t xml:space="preserve"> должно соответствовать назначениям </w:t>
      </w:r>
      <w:proofErr w:type="gramStart"/>
      <w:r w:rsidRPr="008C16D3">
        <w:rPr>
          <w:rFonts w:ascii="Times New Roman" w:hAnsi="Times New Roman" w:cs="Times New Roman"/>
          <w:sz w:val="24"/>
        </w:rPr>
        <w:t>медико-социальной</w:t>
      </w:r>
      <w:proofErr w:type="gramEnd"/>
      <w:r w:rsidRPr="008C16D3">
        <w:rPr>
          <w:rFonts w:ascii="Times New Roman" w:hAnsi="Times New Roman" w:cs="Times New Roman"/>
          <w:sz w:val="24"/>
        </w:rPr>
        <w:t xml:space="preserve"> экспертизы, а также врача. При выполнении работ по </w:t>
      </w:r>
      <w:proofErr w:type="spellStart"/>
      <w:r w:rsidRPr="008C16D3">
        <w:rPr>
          <w:rFonts w:ascii="Times New Roman" w:hAnsi="Times New Roman" w:cs="Times New Roman"/>
          <w:sz w:val="24"/>
        </w:rPr>
        <w:t>ортезированию</w:t>
      </w:r>
      <w:proofErr w:type="spellEnd"/>
      <w:r w:rsidRPr="008C16D3">
        <w:rPr>
          <w:rFonts w:ascii="Times New Roman" w:hAnsi="Times New Roman" w:cs="Times New Roman"/>
          <w:sz w:val="24"/>
        </w:rPr>
        <w:t xml:space="preserve"> должен быть осуществлен контроль при примерке и обеспечении инвалидов указанными средствами реабилитации. Инвалиды и ветераны не должны испытывать болей, избыточного давления, обуславливающих нарушения кровообращения.  </w:t>
      </w:r>
      <w:r>
        <w:rPr>
          <w:rFonts w:ascii="Times New Roman" w:hAnsi="Times New Roman" w:cs="Times New Roman"/>
          <w:sz w:val="24"/>
        </w:rPr>
        <w:t>Аппарат ортопедический должен</w:t>
      </w:r>
      <w:r w:rsidRPr="008C16D3">
        <w:rPr>
          <w:rFonts w:ascii="Times New Roman" w:hAnsi="Times New Roman" w:cs="Times New Roman"/>
          <w:sz w:val="24"/>
        </w:rPr>
        <w:t xml:space="preserve"> допускать свободное надевание на пораженную конечность или ее сегменты, плотно охватывать их, не вызывая болевых ощущений, не оказывая давления на костные выступы и не нарушая кровообращение конечности.</w:t>
      </w:r>
    </w:p>
    <w:p w:rsidR="000E7549" w:rsidRDefault="000E7549" w:rsidP="000E7549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3C6EDC">
        <w:rPr>
          <w:rFonts w:ascii="Times New Roman" w:hAnsi="Times New Roman"/>
          <w:b/>
          <w:sz w:val="24"/>
          <w:szCs w:val="24"/>
        </w:rPr>
        <w:t>Требования к техническим и функциональным характеристикам</w:t>
      </w:r>
    </w:p>
    <w:p w:rsidR="0048108C" w:rsidRPr="009E2F95" w:rsidRDefault="0048108C" w:rsidP="0048108C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:rsidR="000E7549" w:rsidRPr="008C16D3" w:rsidRDefault="0048108C" w:rsidP="000E754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0E7549" w:rsidRPr="008C16D3">
        <w:rPr>
          <w:rFonts w:ascii="Times New Roman" w:hAnsi="Times New Roman" w:cs="Times New Roman"/>
          <w:sz w:val="24"/>
        </w:rPr>
        <w:t>Выполняемые работы должны включать комплекс медицинских, технических и социальных мероприятий, проводимых с инвалидами, ветеранами, имеющих нарушения опорно-двигательного аппарата травматологического, ортопедического, неврологического и иного характера заболеваний, а такж</w:t>
      </w:r>
      <w:r w:rsidR="000E7549">
        <w:rPr>
          <w:rFonts w:ascii="Times New Roman" w:hAnsi="Times New Roman" w:cs="Times New Roman"/>
          <w:sz w:val="24"/>
        </w:rPr>
        <w:t>е других дефектов  организма и</w:t>
      </w:r>
      <w:r w:rsidR="000E7549" w:rsidRPr="008C16D3">
        <w:rPr>
          <w:rFonts w:ascii="Times New Roman" w:hAnsi="Times New Roman" w:cs="Times New Roman"/>
          <w:sz w:val="24"/>
        </w:rPr>
        <w:t xml:space="preserve"> обеспечивать  лечение, восстановление, и компенсацию утраченных функций организма и неустранимых анатомических дефектов и деформаций. </w:t>
      </w:r>
    </w:p>
    <w:p w:rsidR="000E7549" w:rsidRDefault="000E7549" w:rsidP="000E75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754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Ортезы</w:t>
      </w:r>
      <w:proofErr w:type="spellEnd"/>
      <w:r w:rsidRPr="000E754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(тутор на голеностопный сустав, тутор косметический на голень, тутор на коленный сустав, тутор на тазобедренный сустав, тутор на коленный и тазобедренный сустав, тутор на всю ногу) должны</w:t>
      </w:r>
      <w:r w:rsidRPr="008C16D3">
        <w:rPr>
          <w:rFonts w:ascii="Times New Roman" w:hAnsi="Times New Roman"/>
          <w:sz w:val="24"/>
          <w:szCs w:val="24"/>
        </w:rPr>
        <w:t xml:space="preserve"> отвечать требованиям</w:t>
      </w:r>
      <w:r>
        <w:rPr>
          <w:rFonts w:ascii="Times New Roman" w:hAnsi="Times New Roman"/>
          <w:sz w:val="24"/>
          <w:szCs w:val="24"/>
        </w:rPr>
        <w:t>:</w:t>
      </w:r>
    </w:p>
    <w:p w:rsidR="000E7549" w:rsidRPr="008C16D3" w:rsidRDefault="000E7549" w:rsidP="000E75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6D3">
        <w:rPr>
          <w:rFonts w:ascii="Times New Roman" w:hAnsi="Times New Roman"/>
          <w:sz w:val="24"/>
          <w:szCs w:val="24"/>
        </w:rPr>
        <w:t xml:space="preserve"> Государственного стандарта Российской Федерации </w:t>
      </w:r>
      <w:r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</w:t>
      </w:r>
      <w:r w:rsidRPr="008C16D3">
        <w:rPr>
          <w:rFonts w:ascii="Times New Roman" w:hAnsi="Times New Roman"/>
          <w:sz w:val="24"/>
          <w:szCs w:val="24"/>
        </w:rPr>
        <w:t xml:space="preserve">; </w:t>
      </w:r>
      <w:r w:rsidRPr="00B75793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B75793">
        <w:rPr>
          <w:rFonts w:ascii="Times New Roman" w:hAnsi="Times New Roman"/>
          <w:sz w:val="24"/>
          <w:szCs w:val="24"/>
        </w:rPr>
        <w:t>Р</w:t>
      </w:r>
      <w:proofErr w:type="gramEnd"/>
      <w:r w:rsidRPr="00B757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ИСО 9999-2019 </w:t>
      </w:r>
      <w:r w:rsidRPr="00B7579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Вспомогательные средства для людей с ограничениями жизнедеятельности. Классификация и терминология</w:t>
      </w:r>
      <w:r w:rsidRPr="00B75793">
        <w:rPr>
          <w:rFonts w:ascii="Times New Roman" w:hAnsi="Times New Roman"/>
          <w:sz w:val="24"/>
          <w:szCs w:val="24"/>
        </w:rPr>
        <w:t>»</w:t>
      </w:r>
      <w:r w:rsidRPr="008C16D3">
        <w:rPr>
          <w:rFonts w:ascii="Times New Roman" w:hAnsi="Times New Roman"/>
          <w:sz w:val="24"/>
          <w:szCs w:val="24"/>
        </w:rPr>
        <w:t xml:space="preserve">. </w:t>
      </w:r>
    </w:p>
    <w:p w:rsidR="000E7549" w:rsidRDefault="000E7549" w:rsidP="000E75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6D3">
        <w:rPr>
          <w:rFonts w:ascii="Times New Roman" w:hAnsi="Times New Roman"/>
          <w:sz w:val="24"/>
          <w:szCs w:val="24"/>
        </w:rPr>
        <w:t>Разработка, производство, сертификация, эксплуатация</w:t>
      </w:r>
      <w:r>
        <w:rPr>
          <w:rFonts w:ascii="Times New Roman" w:hAnsi="Times New Roman"/>
          <w:sz w:val="24"/>
          <w:szCs w:val="24"/>
        </w:rPr>
        <w:t>, ремонт, снятие с производства</w:t>
      </w:r>
      <w:r w:rsidRPr="008C1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6D3">
        <w:rPr>
          <w:rFonts w:ascii="Times New Roman" w:hAnsi="Times New Roman"/>
          <w:sz w:val="24"/>
          <w:szCs w:val="24"/>
        </w:rPr>
        <w:t>ортезов</w:t>
      </w:r>
      <w:proofErr w:type="spellEnd"/>
      <w:r w:rsidRPr="008C16D3">
        <w:rPr>
          <w:rFonts w:ascii="Times New Roman" w:hAnsi="Times New Roman"/>
          <w:sz w:val="24"/>
          <w:szCs w:val="24"/>
        </w:rPr>
        <w:t xml:space="preserve"> должны отвечать требованиям ГОСТ </w:t>
      </w:r>
      <w:proofErr w:type="gramStart"/>
      <w:r w:rsidRPr="008C16D3">
        <w:rPr>
          <w:rFonts w:ascii="Times New Roman" w:hAnsi="Times New Roman"/>
          <w:sz w:val="24"/>
          <w:szCs w:val="24"/>
        </w:rPr>
        <w:t>Р</w:t>
      </w:r>
      <w:proofErr w:type="gramEnd"/>
      <w:r w:rsidRPr="008C16D3">
        <w:rPr>
          <w:rFonts w:ascii="Times New Roman" w:hAnsi="Times New Roman"/>
          <w:sz w:val="24"/>
          <w:szCs w:val="24"/>
        </w:rPr>
        <w:t xml:space="preserve"> 15.111-</w:t>
      </w:r>
      <w:r>
        <w:rPr>
          <w:rFonts w:ascii="Times New Roman" w:hAnsi="Times New Roman"/>
          <w:sz w:val="24"/>
          <w:szCs w:val="24"/>
        </w:rPr>
        <w:t>2015</w:t>
      </w:r>
      <w:r w:rsidRPr="008C16D3">
        <w:rPr>
          <w:rFonts w:ascii="Times New Roman" w:hAnsi="Times New Roman"/>
          <w:sz w:val="24"/>
          <w:szCs w:val="24"/>
        </w:rPr>
        <w:t xml:space="preserve"> «Система </w:t>
      </w:r>
      <w:r w:rsidRPr="008C16D3">
        <w:rPr>
          <w:rFonts w:ascii="Times New Roman" w:hAnsi="Times New Roman"/>
          <w:sz w:val="24"/>
          <w:szCs w:val="24"/>
        </w:rPr>
        <w:lastRenderedPageBreak/>
        <w:t>разработки и постановки продукции на производство. Технические средства реабилитации инвалидов».</w:t>
      </w:r>
    </w:p>
    <w:p w:rsidR="000E7549" w:rsidRPr="008C16D3" w:rsidRDefault="000E7549" w:rsidP="000E75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16D3">
        <w:rPr>
          <w:rFonts w:ascii="Times New Roman" w:hAnsi="Times New Roman"/>
          <w:sz w:val="24"/>
          <w:szCs w:val="24"/>
        </w:rPr>
        <w:t>Ортезы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D07753">
        <w:rPr>
          <w:rFonts w:ascii="Times New Roman" w:eastAsia="Calibri" w:hAnsi="Times New Roman" w:cs="Times New Roman"/>
          <w:sz w:val="24"/>
          <w:szCs w:val="24"/>
          <w:lang w:eastAsia="en-US"/>
        </w:rPr>
        <w:t>тутор на голеностопный сустав, тутор косметический на голень, тутор на коленный сустав, тутор на тазобедренный сустав, тутор на коленный и тазобедренный сустав, тутор на всю ногу)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6D3">
        <w:rPr>
          <w:rFonts w:ascii="Times New Roman" w:hAnsi="Times New Roman" w:cs="Times New Roman"/>
          <w:sz w:val="24"/>
          <w:szCs w:val="24"/>
        </w:rPr>
        <w:t>несут фиксирующую, функциональную, лечебно-восстановительную, разгружающую, корригирующую функцию и используются с целью ограничения движений, силовой разгрузки пора</w:t>
      </w:r>
      <w:r>
        <w:rPr>
          <w:rFonts w:ascii="Times New Roman" w:hAnsi="Times New Roman" w:cs="Times New Roman"/>
          <w:sz w:val="24"/>
          <w:szCs w:val="24"/>
        </w:rPr>
        <w:t>женных костей,</w:t>
      </w:r>
      <w:r w:rsidRPr="008C16D3">
        <w:rPr>
          <w:rFonts w:ascii="Times New Roman" w:hAnsi="Times New Roman" w:cs="Times New Roman"/>
          <w:sz w:val="24"/>
          <w:szCs w:val="24"/>
        </w:rPr>
        <w:t xml:space="preserve"> суставов конечностей и </w:t>
      </w:r>
      <w:proofErr w:type="spellStart"/>
      <w:r w:rsidRPr="008C16D3">
        <w:rPr>
          <w:rFonts w:ascii="Times New Roman" w:hAnsi="Times New Roman" w:cs="Times New Roman"/>
          <w:sz w:val="24"/>
          <w:szCs w:val="24"/>
        </w:rPr>
        <w:t>связочно</w:t>
      </w:r>
      <w:proofErr w:type="spellEnd"/>
      <w:r w:rsidRPr="008C16D3">
        <w:rPr>
          <w:rFonts w:ascii="Times New Roman" w:hAnsi="Times New Roman" w:cs="Times New Roman"/>
          <w:sz w:val="24"/>
          <w:szCs w:val="24"/>
        </w:rPr>
        <w:t>-мышечного аппарата, коррекции  взаимоположения  деформированных сегментов конечности.</w:t>
      </w:r>
      <w:proofErr w:type="gramEnd"/>
    </w:p>
    <w:p w:rsidR="000E7549" w:rsidRDefault="000E7549" w:rsidP="000E75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7549" w:rsidRDefault="000E7549" w:rsidP="000E75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6EDC">
        <w:rPr>
          <w:rFonts w:ascii="Times New Roman" w:hAnsi="Times New Roman"/>
          <w:b/>
          <w:sz w:val="24"/>
          <w:szCs w:val="24"/>
        </w:rPr>
        <w:t>Требования к безопасности работ</w:t>
      </w:r>
    </w:p>
    <w:p w:rsidR="000E7549" w:rsidRPr="00B40269" w:rsidRDefault="000E7549" w:rsidP="000E7549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0E7549" w:rsidRDefault="000E7549" w:rsidP="000E754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C6EDC">
        <w:rPr>
          <w:rFonts w:ascii="Times New Roman" w:hAnsi="Times New Roman"/>
          <w:sz w:val="24"/>
          <w:szCs w:val="24"/>
        </w:rPr>
        <w:t xml:space="preserve">Материалы, узлы, полуфабрикаты для изготовления </w:t>
      </w:r>
      <w:proofErr w:type="spellStart"/>
      <w:r w:rsidRPr="003C6EDC">
        <w:rPr>
          <w:rFonts w:ascii="Times New Roman" w:hAnsi="Times New Roman"/>
          <w:sz w:val="24"/>
          <w:szCs w:val="24"/>
        </w:rPr>
        <w:t>ортезов</w:t>
      </w:r>
      <w:proofErr w:type="spellEnd"/>
      <w:r w:rsidRPr="003C6EDC">
        <w:rPr>
          <w:rFonts w:ascii="Times New Roman" w:hAnsi="Times New Roman"/>
          <w:sz w:val="24"/>
          <w:szCs w:val="24"/>
        </w:rPr>
        <w:t xml:space="preserve"> должны соответствовать требованиям действующих стандартов и технических условий.</w:t>
      </w:r>
    </w:p>
    <w:p w:rsidR="000E7549" w:rsidRPr="00B40269" w:rsidRDefault="000E7549" w:rsidP="000E7549">
      <w:pPr>
        <w:spacing w:after="0"/>
        <w:ind w:firstLine="708"/>
        <w:rPr>
          <w:rFonts w:ascii="Times New Roman" w:hAnsi="Times New Roman"/>
          <w:sz w:val="16"/>
          <w:szCs w:val="16"/>
        </w:rPr>
      </w:pPr>
    </w:p>
    <w:p w:rsidR="000E7549" w:rsidRDefault="000E7549" w:rsidP="000E75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6EDC">
        <w:rPr>
          <w:rFonts w:ascii="Times New Roman" w:hAnsi="Times New Roman"/>
          <w:b/>
          <w:sz w:val="24"/>
          <w:szCs w:val="24"/>
        </w:rPr>
        <w:t>Место, условия и сроки выполнения работ</w:t>
      </w:r>
    </w:p>
    <w:p w:rsidR="000E7549" w:rsidRPr="00B40269" w:rsidRDefault="000E7549" w:rsidP="000E7549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:rsidR="000E7549" w:rsidRPr="000E7549" w:rsidRDefault="000E7549" w:rsidP="000E7549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549">
        <w:rPr>
          <w:rFonts w:ascii="Times New Roman" w:hAnsi="Times New Roman"/>
          <w:sz w:val="24"/>
          <w:szCs w:val="24"/>
        </w:rPr>
        <w:t xml:space="preserve">Выполнение работ осуществляется по месту изготовления изделий или, при </w:t>
      </w:r>
      <w:proofErr w:type="spellStart"/>
      <w:r w:rsidRPr="000E7549">
        <w:rPr>
          <w:rFonts w:ascii="Times New Roman" w:hAnsi="Times New Roman"/>
          <w:sz w:val="24"/>
          <w:szCs w:val="24"/>
        </w:rPr>
        <w:t>необходимост</w:t>
      </w:r>
      <w:proofErr w:type="spellEnd"/>
      <w:r w:rsidRPr="000E7549">
        <w:rPr>
          <w:rFonts w:ascii="Times New Roman" w:hAnsi="Times New Roman"/>
          <w:sz w:val="24"/>
          <w:szCs w:val="24"/>
        </w:rPr>
        <w:t xml:space="preserve">, по месту жительства Получателя (в части обмера, примерки, выдачи) г. Калуга или Калужская область, по индивидуальному заказу </w:t>
      </w:r>
      <w:proofErr w:type="spellStart"/>
      <w:r w:rsidRPr="000E7549">
        <w:rPr>
          <w:rFonts w:ascii="Times New Roman" w:hAnsi="Times New Roman"/>
          <w:sz w:val="24"/>
          <w:szCs w:val="24"/>
        </w:rPr>
        <w:t>Получаталя</w:t>
      </w:r>
      <w:proofErr w:type="spellEnd"/>
      <w:r w:rsidRPr="000E7549">
        <w:rPr>
          <w:rFonts w:ascii="Times New Roman" w:hAnsi="Times New Roman"/>
          <w:sz w:val="24"/>
          <w:szCs w:val="24"/>
        </w:rPr>
        <w:t>, при наличии направления Заказчика в течение 30 календарных дней, для Получателей из числа, нуждающихся в оказании паллиативной медицинской помощи, в течение 7 календарных дней с момента обращения Получателя с направлением к Подрядчику.</w:t>
      </w:r>
      <w:proofErr w:type="gramEnd"/>
    </w:p>
    <w:p w:rsidR="000E7549" w:rsidRPr="000E7549" w:rsidRDefault="000E7549" w:rsidP="000E7549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7549">
        <w:rPr>
          <w:rFonts w:ascii="Times New Roman" w:hAnsi="Times New Roman"/>
          <w:sz w:val="24"/>
          <w:szCs w:val="24"/>
        </w:rPr>
        <w:t>Срок выполнения работ – до 30.08.2024 г. включительно.</w:t>
      </w:r>
    </w:p>
    <w:p w:rsidR="000E7549" w:rsidRPr="000E7549" w:rsidRDefault="000E7549" w:rsidP="000E7549">
      <w:pPr>
        <w:pStyle w:val="Textbody"/>
        <w:spacing w:after="0"/>
        <w:ind w:firstLine="708"/>
        <w:jc w:val="both"/>
        <w:rPr>
          <w:rFonts w:eastAsiaTheme="minorHAnsi" w:cstheme="minorBidi"/>
          <w:kern w:val="0"/>
          <w:lang w:val="ru-RU" w:eastAsia="en-US" w:bidi="ar-SA"/>
        </w:rPr>
      </w:pPr>
      <w:r w:rsidRPr="000E7549">
        <w:rPr>
          <w:rFonts w:eastAsiaTheme="minorHAnsi" w:cstheme="minorBidi"/>
          <w:kern w:val="0"/>
          <w:lang w:val="ru-RU" w:eastAsia="en-US" w:bidi="ar-SA"/>
        </w:rPr>
        <w:t>Срок предоставления документов - не позднее 19.09.2024 г.</w:t>
      </w:r>
    </w:p>
    <w:p w:rsidR="000E7549" w:rsidRPr="0074408A" w:rsidRDefault="000E7549" w:rsidP="000E7549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7549">
        <w:rPr>
          <w:rFonts w:ascii="Times New Roman" w:hAnsi="Times New Roman"/>
          <w:sz w:val="24"/>
          <w:szCs w:val="24"/>
        </w:rPr>
        <w:t>Срок действия государственного контракта до 30.09.2024 г.</w:t>
      </w:r>
    </w:p>
    <w:p w:rsidR="000E7549" w:rsidRPr="00140C77" w:rsidRDefault="000E7549" w:rsidP="000E7549">
      <w:pPr>
        <w:spacing w:after="0"/>
        <w:ind w:firstLine="708"/>
        <w:rPr>
          <w:rFonts w:ascii="Times New Roman" w:hAnsi="Times New Roman"/>
          <w:sz w:val="14"/>
          <w:szCs w:val="14"/>
        </w:rPr>
      </w:pPr>
    </w:p>
    <w:p w:rsidR="000E7549" w:rsidRDefault="000E7549" w:rsidP="000E754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C6EDC">
        <w:rPr>
          <w:rFonts w:ascii="Times New Roman" w:hAnsi="Times New Roman"/>
          <w:b/>
          <w:sz w:val="24"/>
          <w:szCs w:val="24"/>
        </w:rPr>
        <w:t>Требования к маркировке, упаковке, хранению и транспортированию результатов работ</w:t>
      </w:r>
    </w:p>
    <w:p w:rsidR="000E7549" w:rsidRPr="00140C77" w:rsidRDefault="000E7549" w:rsidP="000E7549">
      <w:pPr>
        <w:spacing w:after="0"/>
        <w:ind w:firstLine="708"/>
        <w:jc w:val="center"/>
        <w:rPr>
          <w:rFonts w:ascii="Times New Roman" w:hAnsi="Times New Roman"/>
          <w:b/>
          <w:sz w:val="14"/>
          <w:szCs w:val="14"/>
        </w:rPr>
      </w:pPr>
    </w:p>
    <w:p w:rsidR="000E7549" w:rsidRPr="008C16D3" w:rsidRDefault="000E7549" w:rsidP="000E754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маркировке, упаковке, транспортированию и хранению технических    средств реабилитации, являющихся одновременно изделиями медицинского назначения </w:t>
      </w:r>
      <w:r>
        <w:rPr>
          <w:rFonts w:ascii="Times New Roman" w:hAnsi="Times New Roman"/>
          <w:sz w:val="24"/>
          <w:szCs w:val="24"/>
        </w:rPr>
        <w:br/>
        <w:t xml:space="preserve">по </w:t>
      </w:r>
      <w:r>
        <w:rPr>
          <w:rFonts w:ascii="Times New Roman" w:hAnsi="Times New Roman"/>
          <w:sz w:val="24"/>
          <w:szCs w:val="24"/>
          <w:lang w:eastAsia="ru-RU"/>
        </w:rPr>
        <w:t xml:space="preserve">"ГОСТ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50444-2020. Национальный стандарт Российской Федерации. Приборы, аппараты и оборудование медицинские. Общие технические требования", "ГОСТ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51632-2021. 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испытаний"</w:t>
      </w:r>
      <w:r>
        <w:rPr>
          <w:rFonts w:ascii="Times New Roman" w:hAnsi="Times New Roman"/>
          <w:sz w:val="24"/>
          <w:szCs w:val="24"/>
        </w:rPr>
        <w:t>.</w:t>
      </w:r>
    </w:p>
    <w:p w:rsidR="000E7549" w:rsidRPr="008C16D3" w:rsidRDefault="000E7549" w:rsidP="000E754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6D3">
        <w:rPr>
          <w:rFonts w:ascii="Times New Roman" w:hAnsi="Times New Roman"/>
          <w:sz w:val="24"/>
          <w:szCs w:val="24"/>
        </w:rPr>
        <w:tab/>
        <w:t xml:space="preserve">Упаковка </w:t>
      </w:r>
      <w:proofErr w:type="spellStart"/>
      <w:r w:rsidRPr="008C16D3">
        <w:rPr>
          <w:rFonts w:ascii="Times New Roman" w:hAnsi="Times New Roman"/>
          <w:sz w:val="24"/>
          <w:szCs w:val="24"/>
        </w:rPr>
        <w:t>ортезов</w:t>
      </w:r>
      <w:proofErr w:type="spellEnd"/>
      <w:r w:rsidRPr="008C16D3">
        <w:rPr>
          <w:rFonts w:ascii="Times New Roman" w:hAnsi="Times New Roman"/>
          <w:sz w:val="24"/>
          <w:szCs w:val="24"/>
        </w:rPr>
        <w:t xml:space="preserve"> должна обеспечивать защиту от повреждений, порчи (изнашивания) или загрязнения во время хранения и транспортировки к месту использования  по назначению. </w:t>
      </w:r>
    </w:p>
    <w:p w:rsidR="000E7549" w:rsidRDefault="000E7549" w:rsidP="000E754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16D3">
        <w:rPr>
          <w:rFonts w:ascii="Times New Roman" w:hAnsi="Times New Roman"/>
          <w:sz w:val="24"/>
          <w:szCs w:val="24"/>
        </w:rPr>
        <w:tab/>
      </w:r>
    </w:p>
    <w:p w:rsidR="000E7549" w:rsidRDefault="000E7549" w:rsidP="000E75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6EDC">
        <w:rPr>
          <w:rFonts w:ascii="Times New Roman" w:hAnsi="Times New Roman"/>
          <w:b/>
          <w:sz w:val="24"/>
          <w:szCs w:val="24"/>
        </w:rPr>
        <w:t>Требование к результатам работ</w:t>
      </w:r>
    </w:p>
    <w:p w:rsidR="000E7549" w:rsidRPr="00140C77" w:rsidRDefault="000E7549" w:rsidP="000E7549">
      <w:pPr>
        <w:spacing w:after="0"/>
        <w:jc w:val="center"/>
        <w:rPr>
          <w:rFonts w:ascii="Times New Roman" w:hAnsi="Times New Roman"/>
          <w:b/>
          <w:sz w:val="14"/>
          <w:szCs w:val="14"/>
        </w:rPr>
      </w:pPr>
    </w:p>
    <w:p w:rsidR="000E7549" w:rsidRPr="008C16D3" w:rsidRDefault="000E7549" w:rsidP="000E754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6D3">
        <w:rPr>
          <w:rFonts w:ascii="Times New Roman" w:hAnsi="Times New Roman"/>
          <w:sz w:val="24"/>
          <w:szCs w:val="24"/>
        </w:rPr>
        <w:t>Работы по обеспечению инвалидов</w:t>
      </w:r>
      <w:r w:rsidRPr="00F11B4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детей-инвалидов</w:t>
      </w:r>
      <w:r w:rsidRPr="00F11B4C">
        <w:rPr>
          <w:rFonts w:ascii="Times New Roman" w:hAnsi="Times New Roman"/>
          <w:sz w:val="24"/>
          <w:szCs w:val="24"/>
        </w:rPr>
        <w:t>)</w:t>
      </w:r>
      <w:r w:rsidRPr="008C1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6D3">
        <w:rPr>
          <w:rFonts w:ascii="Times New Roman" w:hAnsi="Times New Roman"/>
          <w:sz w:val="24"/>
          <w:szCs w:val="24"/>
        </w:rPr>
        <w:t>ортезами</w:t>
      </w:r>
      <w:proofErr w:type="spellEnd"/>
      <w:r w:rsidRPr="008C16D3">
        <w:rPr>
          <w:rFonts w:ascii="Times New Roman" w:hAnsi="Times New Roman"/>
          <w:sz w:val="24"/>
          <w:szCs w:val="24"/>
        </w:rPr>
        <w:t xml:space="preserve"> следует считать</w:t>
      </w:r>
      <w:r>
        <w:rPr>
          <w:rFonts w:ascii="Times New Roman" w:hAnsi="Times New Roman"/>
          <w:sz w:val="24"/>
          <w:szCs w:val="24"/>
        </w:rPr>
        <w:t xml:space="preserve"> эффективно исполненными, если </w:t>
      </w:r>
      <w:r w:rsidRPr="008C16D3">
        <w:rPr>
          <w:rFonts w:ascii="Times New Roman" w:hAnsi="Times New Roman"/>
          <w:sz w:val="24"/>
          <w:szCs w:val="24"/>
        </w:rPr>
        <w:t>у потребителя частично или полностью восстановлена опорная или двигательная функция стопы, сохранены условия для предупреждения развития деформации или благоприятного течения болезни.</w:t>
      </w:r>
    </w:p>
    <w:p w:rsidR="000E7549" w:rsidRPr="008C16D3" w:rsidRDefault="000E7549" w:rsidP="000E754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6D3">
        <w:rPr>
          <w:rFonts w:ascii="Times New Roman" w:hAnsi="Times New Roman"/>
          <w:sz w:val="24"/>
          <w:szCs w:val="24"/>
        </w:rPr>
        <w:t xml:space="preserve"> Работы должны быть выполнены с надлежащим качеством и в установленные сроки.</w:t>
      </w:r>
    </w:p>
    <w:p w:rsidR="000E7549" w:rsidRDefault="000E7549" w:rsidP="000E75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6EDC">
        <w:rPr>
          <w:rFonts w:ascii="Times New Roman" w:hAnsi="Times New Roman"/>
          <w:b/>
          <w:sz w:val="24"/>
          <w:szCs w:val="24"/>
        </w:rPr>
        <w:t xml:space="preserve">Требования к сроку и (или) объему </w:t>
      </w:r>
    </w:p>
    <w:p w:rsidR="000E7549" w:rsidRDefault="000E7549" w:rsidP="000E75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3C6EDC">
        <w:rPr>
          <w:rFonts w:ascii="Times New Roman" w:hAnsi="Times New Roman"/>
          <w:b/>
          <w:sz w:val="24"/>
          <w:szCs w:val="24"/>
        </w:rPr>
        <w:t>редоставленных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C6EDC">
        <w:rPr>
          <w:rFonts w:ascii="Times New Roman" w:hAnsi="Times New Roman"/>
          <w:b/>
          <w:sz w:val="24"/>
          <w:szCs w:val="24"/>
        </w:rPr>
        <w:t>гарантий качества работы</w:t>
      </w:r>
    </w:p>
    <w:p w:rsidR="000E7549" w:rsidRPr="0074408A" w:rsidRDefault="000E7549" w:rsidP="000E7549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:rsidR="000E7549" w:rsidRPr="000E7549" w:rsidRDefault="000E7549" w:rsidP="000E7549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E75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Гарантийный срок на туторы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D07753">
        <w:rPr>
          <w:rFonts w:ascii="Times New Roman" w:eastAsia="Calibri" w:hAnsi="Times New Roman" w:cs="Times New Roman"/>
          <w:sz w:val="24"/>
          <w:szCs w:val="24"/>
        </w:rPr>
        <w:t>тутор на голеностопный сустав, тутор косметический на голень, тутор на коленный сустав, тутор на тазобедренный сустав, тутор на коленный и тазобедренный сустав, тутор на всю ногу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0E7549">
        <w:rPr>
          <w:rFonts w:ascii="Times New Roman" w:eastAsia="Calibri" w:hAnsi="Times New Roman" w:cs="Times New Roman"/>
          <w:sz w:val="24"/>
          <w:szCs w:val="24"/>
        </w:rPr>
        <w:t>составляет не менее 6 месяцев со дня  выдачи изделия получателю.</w:t>
      </w:r>
    </w:p>
    <w:p w:rsidR="000E7549" w:rsidRPr="00140C77" w:rsidRDefault="000E7549" w:rsidP="000E7549">
      <w:pPr>
        <w:spacing w:after="0"/>
        <w:jc w:val="center"/>
        <w:rPr>
          <w:rFonts w:ascii="Times New Roman" w:hAnsi="Times New Roman"/>
          <w:b/>
          <w:sz w:val="14"/>
          <w:szCs w:val="14"/>
        </w:rPr>
      </w:pPr>
    </w:p>
    <w:p w:rsidR="000E7549" w:rsidRDefault="000E7549" w:rsidP="000E75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6EDC">
        <w:rPr>
          <w:rFonts w:ascii="Times New Roman" w:hAnsi="Times New Roman"/>
          <w:b/>
          <w:sz w:val="24"/>
          <w:szCs w:val="24"/>
        </w:rPr>
        <w:t>Порядок формирования цены контракта</w:t>
      </w:r>
    </w:p>
    <w:p w:rsidR="000E7549" w:rsidRPr="00140C77" w:rsidRDefault="000E7549" w:rsidP="000E7549">
      <w:pPr>
        <w:spacing w:after="0"/>
        <w:jc w:val="center"/>
        <w:rPr>
          <w:rFonts w:ascii="Times New Roman" w:hAnsi="Times New Roman"/>
          <w:b/>
          <w:sz w:val="14"/>
          <w:szCs w:val="14"/>
        </w:rPr>
      </w:pPr>
    </w:p>
    <w:p w:rsidR="000E7549" w:rsidRDefault="000E7549" w:rsidP="000E7549">
      <w:pPr>
        <w:widowControl w:val="0"/>
        <w:autoSpaceDE w:val="0"/>
        <w:spacing w:after="0"/>
        <w:ind w:firstLine="5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цену контракта включены расходы по изготовлению изделий, а также расходы по хранению, страхованию, уплате всех пошлин, налогов, сборов и других обязательных платежей, гарантийному сервисному обслуживанию, доставке изделия Получателям и другие расходы, связанные с исполнением государственного контракта.</w:t>
      </w:r>
    </w:p>
    <w:p w:rsidR="000E7549" w:rsidRPr="00140C77" w:rsidRDefault="000E7549" w:rsidP="000E7549">
      <w:pPr>
        <w:widowControl w:val="0"/>
        <w:autoSpaceDE w:val="0"/>
        <w:spacing w:after="0"/>
        <w:ind w:firstLine="528"/>
        <w:jc w:val="both"/>
        <w:rPr>
          <w:rFonts w:ascii="Times New Roman" w:hAnsi="Times New Roman"/>
          <w:sz w:val="14"/>
          <w:szCs w:val="14"/>
        </w:rPr>
      </w:pPr>
    </w:p>
    <w:p w:rsidR="000E7549" w:rsidRDefault="000E7549" w:rsidP="000E7549">
      <w:pPr>
        <w:jc w:val="center"/>
        <w:rPr>
          <w:rFonts w:ascii="Times New Roman" w:hAnsi="Times New Roman"/>
          <w:b/>
          <w:sz w:val="24"/>
          <w:szCs w:val="24"/>
        </w:rPr>
      </w:pPr>
      <w:r w:rsidRPr="003C6EDC">
        <w:rPr>
          <w:rFonts w:ascii="Times New Roman" w:hAnsi="Times New Roman"/>
          <w:b/>
          <w:sz w:val="24"/>
          <w:szCs w:val="24"/>
        </w:rPr>
        <w:t>Требования к количественным и качественным характеристикам</w:t>
      </w:r>
    </w:p>
    <w:p w:rsidR="000E7549" w:rsidRDefault="000E7549" w:rsidP="000E7549">
      <w:pPr>
        <w:spacing w:after="0"/>
        <w:jc w:val="both"/>
        <w:rPr>
          <w:rFonts w:ascii="Times New Roman" w:hAnsi="Times New Roman"/>
          <w:b/>
          <w:szCs w:val="18"/>
        </w:rPr>
      </w:pPr>
      <w:r w:rsidRPr="00B2791E">
        <w:rPr>
          <w:rFonts w:ascii="Times New Roman" w:hAnsi="Times New Roman"/>
          <w:b/>
          <w:szCs w:val="18"/>
        </w:rPr>
        <w:t>*Закупка производится согласно п. 24 ст.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tbl>
      <w:tblPr>
        <w:tblW w:w="900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3700"/>
        <w:gridCol w:w="1275"/>
        <w:gridCol w:w="1162"/>
        <w:gridCol w:w="1162"/>
      </w:tblGrid>
      <w:tr w:rsidR="00257083" w:rsidRPr="00F81D3E" w:rsidTr="00257083">
        <w:trPr>
          <w:jc w:val="center"/>
        </w:trPr>
        <w:tc>
          <w:tcPr>
            <w:tcW w:w="1701" w:type="dxa"/>
            <w:shd w:val="clear" w:color="auto" w:fill="auto"/>
          </w:tcPr>
          <w:p w:rsidR="00257083" w:rsidRPr="004B0B94" w:rsidRDefault="00257083" w:rsidP="000E7549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B94">
              <w:rPr>
                <w:rFonts w:ascii="Times New Roman" w:hAnsi="Times New Roman"/>
                <w:color w:val="000000"/>
                <w:sz w:val="20"/>
                <w:szCs w:val="20"/>
              </w:rPr>
              <w:t>Необходимо указать наименование изделия, шифр (модель)</w:t>
            </w:r>
          </w:p>
        </w:tc>
        <w:tc>
          <w:tcPr>
            <w:tcW w:w="3700" w:type="dxa"/>
            <w:shd w:val="clear" w:color="auto" w:fill="auto"/>
          </w:tcPr>
          <w:p w:rsidR="00257083" w:rsidRPr="004B0B94" w:rsidRDefault="00257083" w:rsidP="000E7549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B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протезно-ортопедического изделия по функциональной классификации </w:t>
            </w:r>
          </w:p>
        </w:tc>
        <w:tc>
          <w:tcPr>
            <w:tcW w:w="1275" w:type="dxa"/>
            <w:shd w:val="clear" w:color="auto" w:fill="auto"/>
          </w:tcPr>
          <w:p w:rsidR="00257083" w:rsidRPr="004B0B94" w:rsidRDefault="00257083" w:rsidP="000E7549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shd w:val="clear" w:color="auto" w:fill="auto"/>
          </w:tcPr>
          <w:p w:rsidR="00257083" w:rsidRPr="004B0B94" w:rsidRDefault="00257083" w:rsidP="000E7549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Кол-во товара, объема работы или услуги</w:t>
            </w:r>
          </w:p>
        </w:tc>
        <w:tc>
          <w:tcPr>
            <w:tcW w:w="1162" w:type="dxa"/>
          </w:tcPr>
          <w:p w:rsidR="00257083" w:rsidRPr="00257083" w:rsidRDefault="00257083" w:rsidP="00A9119D">
            <w:pPr>
              <w:pStyle w:val="Textbody"/>
              <w:jc w:val="center"/>
              <w:rPr>
                <w:rFonts w:eastAsiaTheme="minorHAnsi" w:cstheme="minorBidi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 w:rsidRPr="00257083">
              <w:rPr>
                <w:rFonts w:eastAsiaTheme="minorHAnsi" w:cstheme="minorBidi"/>
                <w:color w:val="000000"/>
                <w:kern w:val="0"/>
                <w:sz w:val="20"/>
                <w:szCs w:val="20"/>
                <w:lang w:val="ru-RU" w:eastAsia="en-US" w:bidi="ar-SA"/>
              </w:rPr>
              <w:t>Наименование по коду КТРУ, код КТРУ</w:t>
            </w:r>
          </w:p>
        </w:tc>
      </w:tr>
      <w:tr w:rsidR="00257083" w:rsidRPr="00F81D3E" w:rsidTr="00257083">
        <w:trPr>
          <w:jc w:val="center"/>
        </w:trPr>
        <w:tc>
          <w:tcPr>
            <w:tcW w:w="1701" w:type="dxa"/>
            <w:shd w:val="clear" w:color="auto" w:fill="auto"/>
          </w:tcPr>
          <w:p w:rsidR="00257083" w:rsidRPr="00631651" w:rsidRDefault="00257083" w:rsidP="000E75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shd w:val="clear" w:color="auto" w:fill="auto"/>
          </w:tcPr>
          <w:p w:rsidR="00257083" w:rsidRDefault="00257083" w:rsidP="000E7549">
            <w:pPr>
              <w:tabs>
                <w:tab w:val="left" w:pos="360"/>
              </w:tabs>
              <w:spacing w:after="0"/>
              <w:ind w:right="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8-09-49. Тутор на голеностопный сустав</w:t>
            </w:r>
          </w:p>
          <w:p w:rsidR="00257083" w:rsidRPr="009B5ABB" w:rsidRDefault="00257083" w:rsidP="000E7549">
            <w:pPr>
              <w:snapToGrid w:val="0"/>
              <w:spacing w:after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18"/>
                <w:szCs w:val="18"/>
              </w:rPr>
              <w:t>Тутор на голеностопный  сустав должен быть фиксирующий,   из слоистого пластика на основе полиэфирного связующего или композиции пропиточной термопластичной или из листа полиэтилена высокого и низкого давления, изготовление должно быть по слепку, назначение должно быть  – постоянное.</w:t>
            </w:r>
          </w:p>
        </w:tc>
        <w:tc>
          <w:tcPr>
            <w:tcW w:w="1275" w:type="dxa"/>
            <w:shd w:val="clear" w:color="auto" w:fill="auto"/>
          </w:tcPr>
          <w:p w:rsidR="00257083" w:rsidRPr="000E7549" w:rsidRDefault="00257083" w:rsidP="000E7549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549">
              <w:rPr>
                <w:rFonts w:ascii="Times New Roman" w:hAnsi="Times New Roman"/>
                <w:color w:val="000000"/>
                <w:sz w:val="20"/>
                <w:szCs w:val="20"/>
              </w:rPr>
              <w:t>1 штука*</w:t>
            </w:r>
          </w:p>
        </w:tc>
        <w:tc>
          <w:tcPr>
            <w:tcW w:w="1162" w:type="dxa"/>
            <w:shd w:val="clear" w:color="auto" w:fill="auto"/>
          </w:tcPr>
          <w:p w:rsidR="00257083" w:rsidRPr="000E7549" w:rsidRDefault="00257083" w:rsidP="000E7549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549">
              <w:rPr>
                <w:rFonts w:ascii="Times New Roman" w:hAnsi="Times New Roman"/>
                <w:color w:val="000000"/>
                <w:sz w:val="20"/>
                <w:szCs w:val="20"/>
              </w:rPr>
              <w:t>Объем закупки не определен</w:t>
            </w:r>
          </w:p>
        </w:tc>
        <w:tc>
          <w:tcPr>
            <w:tcW w:w="1162" w:type="dxa"/>
          </w:tcPr>
          <w:p w:rsidR="00257083" w:rsidRDefault="00257083" w:rsidP="00A9119D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57083" w:rsidRDefault="00257083" w:rsidP="00A9119D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257083" w:rsidRDefault="00257083" w:rsidP="00A9119D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257083" w:rsidRDefault="00257083" w:rsidP="00A9119D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257083" w:rsidRDefault="00257083" w:rsidP="00A9119D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257083" w:rsidRDefault="00257083" w:rsidP="00A9119D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257083" w:rsidRDefault="00257083" w:rsidP="00A9119D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257083" w:rsidRPr="00403232" w:rsidRDefault="00257083" w:rsidP="00A9119D">
            <w:pPr>
              <w:autoSpaceDE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57083" w:rsidRPr="00F81D3E" w:rsidTr="00257083">
        <w:trPr>
          <w:trHeight w:val="1693"/>
          <w:jc w:val="center"/>
        </w:trPr>
        <w:tc>
          <w:tcPr>
            <w:tcW w:w="1701" w:type="dxa"/>
            <w:shd w:val="clear" w:color="auto" w:fill="auto"/>
          </w:tcPr>
          <w:p w:rsidR="00257083" w:rsidRPr="00631651" w:rsidRDefault="00257083" w:rsidP="000E75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shd w:val="clear" w:color="auto" w:fill="auto"/>
          </w:tcPr>
          <w:p w:rsidR="00257083" w:rsidRDefault="00257083" w:rsidP="000E7549">
            <w:pPr>
              <w:snapToGrid w:val="0"/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8-09-50. Тутор косметический на голень</w:t>
            </w:r>
          </w:p>
          <w:p w:rsidR="00257083" w:rsidRDefault="00257083" w:rsidP="00257083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Тутор косметический на голень должен изготавливаться в виде гильзы. Гильза должна изготавливаться из кожи или термопласта, в зависимости от медицинских показаний и массы тела инвалида.</w:t>
            </w:r>
          </w:p>
          <w:p w:rsidR="00257083" w:rsidRDefault="00257083" w:rsidP="00257083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Крепление должно осуществляться лентой «</w:t>
            </w:r>
            <w:proofErr w:type="spellStart"/>
            <w:r>
              <w:rPr>
                <w:sz w:val="18"/>
                <w:szCs w:val="18"/>
              </w:rPr>
              <w:t>велкро</w:t>
            </w:r>
            <w:proofErr w:type="spellEnd"/>
            <w:r>
              <w:rPr>
                <w:sz w:val="18"/>
                <w:szCs w:val="18"/>
              </w:rPr>
              <w:t>» или молнией.</w:t>
            </w:r>
          </w:p>
          <w:p w:rsidR="00257083" w:rsidRPr="00164F0D" w:rsidRDefault="00257083" w:rsidP="00257083">
            <w:pPr>
              <w:spacing w:after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18"/>
                <w:szCs w:val="18"/>
              </w:rPr>
              <w:t>Изготовление должно быть по слепку или индивидуальному моделированию. Должен быть  фиксирующим.</w:t>
            </w:r>
          </w:p>
        </w:tc>
        <w:tc>
          <w:tcPr>
            <w:tcW w:w="1275" w:type="dxa"/>
            <w:shd w:val="clear" w:color="auto" w:fill="auto"/>
          </w:tcPr>
          <w:p w:rsidR="00257083" w:rsidRPr="000E7549" w:rsidRDefault="00257083" w:rsidP="000E7549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549">
              <w:rPr>
                <w:rFonts w:ascii="Times New Roman" w:hAnsi="Times New Roman"/>
                <w:color w:val="000000"/>
                <w:sz w:val="20"/>
                <w:szCs w:val="20"/>
              </w:rPr>
              <w:t>1 штука*</w:t>
            </w:r>
          </w:p>
        </w:tc>
        <w:tc>
          <w:tcPr>
            <w:tcW w:w="1162" w:type="dxa"/>
            <w:shd w:val="clear" w:color="auto" w:fill="auto"/>
          </w:tcPr>
          <w:p w:rsidR="00257083" w:rsidRPr="000E7549" w:rsidRDefault="00257083" w:rsidP="000E7549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57083" w:rsidRPr="000E7549" w:rsidRDefault="00257083" w:rsidP="000E7549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57083" w:rsidRPr="000E7549" w:rsidRDefault="00257083" w:rsidP="000E7549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549">
              <w:rPr>
                <w:rFonts w:ascii="Times New Roman" w:hAnsi="Times New Roman"/>
                <w:color w:val="000000"/>
                <w:sz w:val="20"/>
                <w:szCs w:val="20"/>
              </w:rPr>
              <w:t>Объем закупки не определен</w:t>
            </w:r>
          </w:p>
        </w:tc>
        <w:tc>
          <w:tcPr>
            <w:tcW w:w="1162" w:type="dxa"/>
          </w:tcPr>
          <w:p w:rsidR="00257083" w:rsidRDefault="00257083" w:rsidP="00A9119D">
            <w:pPr>
              <w:autoSpaceDE w:val="0"/>
              <w:jc w:val="center"/>
              <w:rPr>
                <w:rFonts w:cs="Times New Roman"/>
                <w:sz w:val="18"/>
                <w:szCs w:val="18"/>
              </w:rPr>
            </w:pPr>
            <w:r w:rsidRPr="00257083">
              <w:rPr>
                <w:sz w:val="18"/>
                <w:szCs w:val="18"/>
              </w:rPr>
              <w:t>КТРУ № 32.50.22.124-00000001</w:t>
            </w:r>
          </w:p>
        </w:tc>
      </w:tr>
      <w:tr w:rsidR="00257083" w:rsidRPr="00F81D3E" w:rsidTr="00257083">
        <w:trPr>
          <w:trHeight w:val="762"/>
          <w:jc w:val="center"/>
        </w:trPr>
        <w:tc>
          <w:tcPr>
            <w:tcW w:w="1701" w:type="dxa"/>
            <w:shd w:val="clear" w:color="auto" w:fill="auto"/>
          </w:tcPr>
          <w:p w:rsidR="00257083" w:rsidRPr="00631651" w:rsidRDefault="00257083" w:rsidP="000E75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shd w:val="clear" w:color="auto" w:fill="auto"/>
          </w:tcPr>
          <w:p w:rsidR="00257083" w:rsidRDefault="00257083" w:rsidP="000E7549">
            <w:pPr>
              <w:snapToGrid w:val="0"/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8-09-51. Тутор на коленный сустав</w:t>
            </w:r>
          </w:p>
          <w:p w:rsidR="00257083" w:rsidRPr="00164F0D" w:rsidRDefault="00257083" w:rsidP="00257083">
            <w:pPr>
              <w:snapToGrid w:val="0"/>
              <w:spacing w:after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18"/>
                <w:szCs w:val="18"/>
              </w:rPr>
              <w:t>Тутор на коленный  сустав должен быть  фиксирующий, из слоистого пластика, изготовление должно быть  по слепку, назначение должно быть постоянное.</w:t>
            </w:r>
          </w:p>
        </w:tc>
        <w:tc>
          <w:tcPr>
            <w:tcW w:w="1275" w:type="dxa"/>
            <w:shd w:val="clear" w:color="auto" w:fill="auto"/>
          </w:tcPr>
          <w:p w:rsidR="00257083" w:rsidRPr="000E7549" w:rsidRDefault="00257083" w:rsidP="000E7549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549">
              <w:rPr>
                <w:rFonts w:ascii="Times New Roman" w:hAnsi="Times New Roman"/>
                <w:color w:val="000000"/>
                <w:sz w:val="20"/>
                <w:szCs w:val="20"/>
              </w:rPr>
              <w:t>1 штука*</w:t>
            </w:r>
          </w:p>
        </w:tc>
        <w:tc>
          <w:tcPr>
            <w:tcW w:w="1162" w:type="dxa"/>
            <w:shd w:val="clear" w:color="auto" w:fill="auto"/>
          </w:tcPr>
          <w:p w:rsidR="00257083" w:rsidRPr="000E7549" w:rsidRDefault="00257083" w:rsidP="000E7549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549">
              <w:rPr>
                <w:rFonts w:ascii="Times New Roman" w:hAnsi="Times New Roman"/>
                <w:color w:val="000000"/>
                <w:sz w:val="20"/>
                <w:szCs w:val="20"/>
              </w:rPr>
              <w:t>Объем закупки не определен</w:t>
            </w:r>
          </w:p>
        </w:tc>
        <w:tc>
          <w:tcPr>
            <w:tcW w:w="1162" w:type="dxa"/>
          </w:tcPr>
          <w:p w:rsidR="00257083" w:rsidRDefault="00257083" w:rsidP="00A9119D">
            <w:pPr>
              <w:autoSpaceDE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57083" w:rsidRPr="00F81D3E" w:rsidTr="00257083">
        <w:trPr>
          <w:trHeight w:val="928"/>
          <w:jc w:val="center"/>
        </w:trPr>
        <w:tc>
          <w:tcPr>
            <w:tcW w:w="1701" w:type="dxa"/>
            <w:shd w:val="clear" w:color="auto" w:fill="auto"/>
          </w:tcPr>
          <w:p w:rsidR="00257083" w:rsidRPr="00631651" w:rsidRDefault="00257083" w:rsidP="000E75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shd w:val="clear" w:color="auto" w:fill="auto"/>
          </w:tcPr>
          <w:p w:rsidR="00257083" w:rsidRDefault="00257083" w:rsidP="00D678CD">
            <w:pPr>
              <w:autoSpaceDE w:val="0"/>
              <w:adjustRightInd w:val="0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8-09-52. Тутор на тазобедренный сустав</w:t>
            </w:r>
          </w:p>
          <w:p w:rsidR="00257083" w:rsidRPr="00164F0D" w:rsidRDefault="00257083" w:rsidP="00D678CD">
            <w:pPr>
              <w:snapToGrid w:val="0"/>
              <w:spacing w:after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Cs/>
                <w:sz w:val="18"/>
                <w:szCs w:val="18"/>
              </w:rPr>
              <w:t xml:space="preserve">Тутор на тазобедренный сустав должен  обеспечивать фиксацию нижней конечности в функционально выгодном или необходимом положении, </w:t>
            </w:r>
            <w:proofErr w:type="gramStart"/>
            <w:r>
              <w:rPr>
                <w:bCs/>
                <w:sz w:val="18"/>
                <w:szCs w:val="18"/>
              </w:rPr>
              <w:t>обусловленным</w:t>
            </w:r>
            <w:proofErr w:type="gramEnd"/>
            <w:r>
              <w:rPr>
                <w:bCs/>
                <w:sz w:val="18"/>
                <w:szCs w:val="18"/>
              </w:rPr>
              <w:t xml:space="preserve"> медицинскими показаниями. Тутор должен состоять из гильзы, охватывающий таз и бедро и крепления. Проксимальная граница тутора должна доходить на тазовые части  гильзы: спереди вверху – до нижнего края рёбер, спереди внизу до паховой складки, сзади внизу – до </w:t>
            </w:r>
            <w:proofErr w:type="spellStart"/>
            <w:r>
              <w:rPr>
                <w:bCs/>
                <w:sz w:val="18"/>
                <w:szCs w:val="18"/>
              </w:rPr>
              <w:t>подъягодичной</w:t>
            </w:r>
            <w:proofErr w:type="spellEnd"/>
            <w:r>
              <w:rPr>
                <w:bCs/>
                <w:sz w:val="18"/>
                <w:szCs w:val="18"/>
              </w:rPr>
              <w:t xml:space="preserve"> складки, а дистальная граница – до коленного сустава с захватом </w:t>
            </w:r>
            <w:proofErr w:type="spellStart"/>
            <w:r>
              <w:rPr>
                <w:bCs/>
                <w:sz w:val="18"/>
                <w:szCs w:val="18"/>
              </w:rPr>
              <w:t>мещелков</w:t>
            </w:r>
            <w:proofErr w:type="spellEnd"/>
            <w:r>
              <w:rPr>
                <w:bCs/>
                <w:sz w:val="18"/>
                <w:szCs w:val="18"/>
              </w:rPr>
              <w:t xml:space="preserve"> бедра. Приемная гильза должна быть изготовлена из низкотемпературных, высокотемпературных термопластов. Крепление должно осуществляться лентой по типу «Контакт». </w:t>
            </w:r>
            <w:r>
              <w:rPr>
                <w:sz w:val="18"/>
                <w:szCs w:val="18"/>
              </w:rPr>
              <w:t>Изготовление должно быть по слепку или индивидуальному моделированию по телу инвалида, в соответствии с медицинскими показаниями.</w:t>
            </w:r>
          </w:p>
        </w:tc>
        <w:tc>
          <w:tcPr>
            <w:tcW w:w="1275" w:type="dxa"/>
            <w:shd w:val="clear" w:color="auto" w:fill="auto"/>
          </w:tcPr>
          <w:p w:rsidR="00257083" w:rsidRPr="000E7549" w:rsidRDefault="00257083" w:rsidP="000E7549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549">
              <w:rPr>
                <w:rFonts w:ascii="Times New Roman" w:hAnsi="Times New Roman"/>
                <w:color w:val="000000"/>
                <w:sz w:val="20"/>
                <w:szCs w:val="20"/>
              </w:rPr>
              <w:t>1 штука*</w:t>
            </w:r>
          </w:p>
        </w:tc>
        <w:tc>
          <w:tcPr>
            <w:tcW w:w="1162" w:type="dxa"/>
            <w:shd w:val="clear" w:color="auto" w:fill="auto"/>
          </w:tcPr>
          <w:p w:rsidR="00257083" w:rsidRPr="000E7549" w:rsidRDefault="00257083" w:rsidP="000E7549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549">
              <w:rPr>
                <w:rFonts w:ascii="Times New Roman" w:hAnsi="Times New Roman"/>
                <w:color w:val="000000"/>
                <w:sz w:val="20"/>
                <w:szCs w:val="20"/>
              </w:rPr>
              <w:t>Объем закупки не определен</w:t>
            </w:r>
          </w:p>
        </w:tc>
        <w:tc>
          <w:tcPr>
            <w:tcW w:w="1162" w:type="dxa"/>
          </w:tcPr>
          <w:p w:rsidR="00257083" w:rsidRDefault="00257083" w:rsidP="00A9119D">
            <w:pPr>
              <w:autoSpaceDE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57083" w:rsidRPr="00F81D3E" w:rsidTr="00257083">
        <w:trPr>
          <w:trHeight w:val="1223"/>
          <w:jc w:val="center"/>
        </w:trPr>
        <w:tc>
          <w:tcPr>
            <w:tcW w:w="1701" w:type="dxa"/>
            <w:shd w:val="clear" w:color="auto" w:fill="auto"/>
          </w:tcPr>
          <w:p w:rsidR="00257083" w:rsidRPr="00631651" w:rsidRDefault="00257083" w:rsidP="000E75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shd w:val="clear" w:color="auto" w:fill="auto"/>
          </w:tcPr>
          <w:p w:rsidR="00257083" w:rsidRDefault="00257083" w:rsidP="00D678CD">
            <w:pPr>
              <w:autoSpaceDE w:val="0"/>
              <w:adjustRightInd w:val="0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8-09-53. </w:t>
            </w:r>
            <w:proofErr w:type="gramStart"/>
            <w:r>
              <w:rPr>
                <w:b/>
                <w:bCs/>
                <w:sz w:val="18"/>
                <w:szCs w:val="18"/>
              </w:rPr>
              <w:t>Тутор на коленный и тазобедренный суставы</w:t>
            </w:r>
            <w:proofErr w:type="gramEnd"/>
          </w:p>
          <w:p w:rsidR="00257083" w:rsidRPr="00164F0D" w:rsidRDefault="00257083" w:rsidP="00D678CD">
            <w:pPr>
              <w:snapToGrid w:val="0"/>
              <w:spacing w:after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18"/>
                <w:szCs w:val="18"/>
              </w:rPr>
              <w:t>Тутор должен быть фиксирующий, корригирующий, разгружающий, должен быть из вспененных упругих и смягчающих материалов ПНД, должен быть изготовлен по слепку, назначение должно быть постоянное, лечебно-профилактическое.</w:t>
            </w:r>
          </w:p>
        </w:tc>
        <w:tc>
          <w:tcPr>
            <w:tcW w:w="1275" w:type="dxa"/>
            <w:shd w:val="clear" w:color="auto" w:fill="auto"/>
          </w:tcPr>
          <w:p w:rsidR="00257083" w:rsidRPr="000E7549" w:rsidRDefault="00257083" w:rsidP="000E7549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549">
              <w:rPr>
                <w:rFonts w:ascii="Times New Roman" w:hAnsi="Times New Roman"/>
                <w:color w:val="000000"/>
                <w:sz w:val="20"/>
                <w:szCs w:val="20"/>
              </w:rPr>
              <w:t>1 штука*</w:t>
            </w:r>
          </w:p>
        </w:tc>
        <w:tc>
          <w:tcPr>
            <w:tcW w:w="1162" w:type="dxa"/>
            <w:shd w:val="clear" w:color="auto" w:fill="auto"/>
          </w:tcPr>
          <w:p w:rsidR="00257083" w:rsidRPr="000E7549" w:rsidRDefault="00257083" w:rsidP="000E7549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549">
              <w:rPr>
                <w:rFonts w:ascii="Times New Roman" w:hAnsi="Times New Roman"/>
                <w:color w:val="000000"/>
                <w:sz w:val="20"/>
                <w:szCs w:val="20"/>
              </w:rPr>
              <w:t>Объем закупки не определен</w:t>
            </w:r>
          </w:p>
        </w:tc>
        <w:tc>
          <w:tcPr>
            <w:tcW w:w="1162" w:type="dxa"/>
          </w:tcPr>
          <w:p w:rsidR="00257083" w:rsidRDefault="00257083" w:rsidP="00A9119D">
            <w:pPr>
              <w:autoSpaceDE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57083" w:rsidRPr="00F81D3E" w:rsidTr="00257083">
        <w:trPr>
          <w:trHeight w:val="1384"/>
          <w:jc w:val="center"/>
        </w:trPr>
        <w:tc>
          <w:tcPr>
            <w:tcW w:w="1701" w:type="dxa"/>
            <w:shd w:val="clear" w:color="auto" w:fill="auto"/>
          </w:tcPr>
          <w:p w:rsidR="00257083" w:rsidRPr="00631651" w:rsidRDefault="00257083" w:rsidP="000E75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shd w:val="clear" w:color="auto" w:fill="auto"/>
          </w:tcPr>
          <w:p w:rsidR="00257083" w:rsidRDefault="00257083" w:rsidP="00D678CD">
            <w:pPr>
              <w:snapToGrid w:val="0"/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8-09-54. Тутор на всю ногу</w:t>
            </w:r>
          </w:p>
          <w:p w:rsidR="00257083" w:rsidRDefault="00257083" w:rsidP="00257083">
            <w:pPr>
              <w:autoSpaceDE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Тутор на всю ногу должен быть: </w:t>
            </w:r>
          </w:p>
          <w:p w:rsidR="00257083" w:rsidRDefault="00257083" w:rsidP="00257083">
            <w:pPr>
              <w:autoSpaceDE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-комбинированный, корригирующий, </w:t>
            </w:r>
          </w:p>
          <w:p w:rsidR="00257083" w:rsidRDefault="00257083" w:rsidP="00257083">
            <w:pPr>
              <w:autoSpaceDE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фиксирующий.</w:t>
            </w:r>
          </w:p>
          <w:p w:rsidR="00257083" w:rsidRDefault="00257083" w:rsidP="00257083">
            <w:pPr>
              <w:autoSpaceDE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из  литьевого термопласта,</w:t>
            </w:r>
          </w:p>
          <w:p w:rsidR="00257083" w:rsidRDefault="00257083" w:rsidP="00257083">
            <w:pPr>
              <w:autoSpaceDE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gramStart"/>
            <w:r>
              <w:rPr>
                <w:sz w:val="18"/>
                <w:szCs w:val="18"/>
              </w:rPr>
              <w:t>изготовлен</w:t>
            </w:r>
            <w:proofErr w:type="gramEnd"/>
            <w:r>
              <w:rPr>
                <w:sz w:val="18"/>
                <w:szCs w:val="18"/>
              </w:rPr>
              <w:t xml:space="preserve"> по слепку.</w:t>
            </w:r>
          </w:p>
          <w:p w:rsidR="00257083" w:rsidRPr="00164F0D" w:rsidRDefault="00257083" w:rsidP="00257083">
            <w:pPr>
              <w:snapToGrid w:val="0"/>
              <w:spacing w:after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18"/>
                <w:szCs w:val="18"/>
              </w:rPr>
              <w:t>Назначение - лечебно-профилактическое.</w:t>
            </w:r>
          </w:p>
        </w:tc>
        <w:tc>
          <w:tcPr>
            <w:tcW w:w="1275" w:type="dxa"/>
            <w:shd w:val="clear" w:color="auto" w:fill="auto"/>
          </w:tcPr>
          <w:p w:rsidR="00257083" w:rsidRPr="000E7549" w:rsidRDefault="00257083" w:rsidP="000E7549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549">
              <w:rPr>
                <w:rFonts w:ascii="Times New Roman" w:hAnsi="Times New Roman"/>
                <w:color w:val="000000"/>
                <w:sz w:val="20"/>
                <w:szCs w:val="20"/>
              </w:rPr>
              <w:t>1 штука*</w:t>
            </w:r>
          </w:p>
        </w:tc>
        <w:tc>
          <w:tcPr>
            <w:tcW w:w="1162" w:type="dxa"/>
            <w:shd w:val="clear" w:color="auto" w:fill="auto"/>
          </w:tcPr>
          <w:p w:rsidR="00257083" w:rsidRPr="000E7549" w:rsidRDefault="00257083" w:rsidP="000E7549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549">
              <w:rPr>
                <w:rFonts w:ascii="Times New Roman" w:hAnsi="Times New Roman"/>
                <w:color w:val="000000"/>
                <w:sz w:val="20"/>
                <w:szCs w:val="20"/>
              </w:rPr>
              <w:t>Объем закупки не определен</w:t>
            </w:r>
          </w:p>
        </w:tc>
        <w:tc>
          <w:tcPr>
            <w:tcW w:w="1162" w:type="dxa"/>
          </w:tcPr>
          <w:p w:rsidR="00257083" w:rsidRDefault="00257083" w:rsidP="00A9119D">
            <w:pPr>
              <w:autoSpaceDE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:rsidR="00ED4CA8" w:rsidRPr="00ED4CA8" w:rsidRDefault="00ED4CA8" w:rsidP="000E7549">
      <w:pPr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</w:p>
    <w:sectPr w:rsidR="00ED4CA8" w:rsidRPr="00ED4CA8" w:rsidSect="00ED4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549" w:rsidRDefault="000E7549" w:rsidP="00B60F98">
      <w:pPr>
        <w:spacing w:after="0" w:line="240" w:lineRule="auto"/>
      </w:pPr>
      <w:r>
        <w:separator/>
      </w:r>
    </w:p>
  </w:endnote>
  <w:endnote w:type="continuationSeparator" w:id="0">
    <w:p w:rsidR="000E7549" w:rsidRDefault="000E7549" w:rsidP="00B6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549" w:rsidRDefault="000E7549" w:rsidP="00B60F98">
      <w:pPr>
        <w:spacing w:after="0" w:line="240" w:lineRule="auto"/>
      </w:pPr>
      <w:r>
        <w:separator/>
      </w:r>
    </w:p>
  </w:footnote>
  <w:footnote w:type="continuationSeparator" w:id="0">
    <w:p w:rsidR="000E7549" w:rsidRDefault="000E7549" w:rsidP="00B60F98">
      <w:pPr>
        <w:spacing w:after="0" w:line="240" w:lineRule="auto"/>
      </w:pPr>
      <w:r>
        <w:continuationSeparator/>
      </w:r>
    </w:p>
  </w:footnote>
  <w:footnote w:id="1">
    <w:p w:rsidR="000E7549" w:rsidRDefault="000E7549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 xml:space="preserve">Срок службы </w:t>
      </w:r>
      <w:proofErr w:type="spellStart"/>
      <w:r>
        <w:rPr>
          <w:rFonts w:ascii="Times New Roman" w:hAnsi="Times New Roman"/>
          <w:sz w:val="16"/>
          <w:szCs w:val="16"/>
        </w:rPr>
        <w:t>ортезов</w:t>
      </w:r>
      <w:proofErr w:type="spellEnd"/>
      <w:r>
        <w:rPr>
          <w:rFonts w:ascii="Times New Roman" w:hAnsi="Times New Roman"/>
          <w:sz w:val="16"/>
          <w:szCs w:val="16"/>
        </w:rPr>
        <w:t>, устанавливается изготовителем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8C"/>
    <w:rsid w:val="00002A94"/>
    <w:rsid w:val="000A26EB"/>
    <w:rsid w:val="000C3F04"/>
    <w:rsid w:val="000C5E02"/>
    <w:rsid w:val="000C7C88"/>
    <w:rsid w:val="000E7549"/>
    <w:rsid w:val="000F4898"/>
    <w:rsid w:val="00110E8F"/>
    <w:rsid w:val="0014431F"/>
    <w:rsid w:val="00197C2C"/>
    <w:rsid w:val="001A5C1C"/>
    <w:rsid w:val="001D7256"/>
    <w:rsid w:val="00217BEC"/>
    <w:rsid w:val="00234956"/>
    <w:rsid w:val="00252554"/>
    <w:rsid w:val="00257083"/>
    <w:rsid w:val="002C3AA4"/>
    <w:rsid w:val="002F6005"/>
    <w:rsid w:val="003055D1"/>
    <w:rsid w:val="00322471"/>
    <w:rsid w:val="00347A3D"/>
    <w:rsid w:val="00361434"/>
    <w:rsid w:val="003622E8"/>
    <w:rsid w:val="00386A8C"/>
    <w:rsid w:val="0039556E"/>
    <w:rsid w:val="003B39BF"/>
    <w:rsid w:val="0042253F"/>
    <w:rsid w:val="00454556"/>
    <w:rsid w:val="0048108C"/>
    <w:rsid w:val="00492D34"/>
    <w:rsid w:val="004F070E"/>
    <w:rsid w:val="00530D67"/>
    <w:rsid w:val="00562058"/>
    <w:rsid w:val="005C42DD"/>
    <w:rsid w:val="00601007"/>
    <w:rsid w:val="00633312"/>
    <w:rsid w:val="00642679"/>
    <w:rsid w:val="00643FE3"/>
    <w:rsid w:val="00664C7B"/>
    <w:rsid w:val="00694FF4"/>
    <w:rsid w:val="006C6BBB"/>
    <w:rsid w:val="0071425D"/>
    <w:rsid w:val="007364D8"/>
    <w:rsid w:val="007B6DFB"/>
    <w:rsid w:val="007F0113"/>
    <w:rsid w:val="008657A7"/>
    <w:rsid w:val="00885D05"/>
    <w:rsid w:val="008A6D2B"/>
    <w:rsid w:val="009148D2"/>
    <w:rsid w:val="00955D2A"/>
    <w:rsid w:val="009566FD"/>
    <w:rsid w:val="00966D66"/>
    <w:rsid w:val="009979B8"/>
    <w:rsid w:val="009A3D86"/>
    <w:rsid w:val="009A738A"/>
    <w:rsid w:val="009C7D4A"/>
    <w:rsid w:val="009E2F95"/>
    <w:rsid w:val="009F6589"/>
    <w:rsid w:val="00A62DFB"/>
    <w:rsid w:val="00AA0E73"/>
    <w:rsid w:val="00AA60FA"/>
    <w:rsid w:val="00AA67E7"/>
    <w:rsid w:val="00B05CD0"/>
    <w:rsid w:val="00B60F98"/>
    <w:rsid w:val="00B94F00"/>
    <w:rsid w:val="00BA142D"/>
    <w:rsid w:val="00C313DE"/>
    <w:rsid w:val="00C36E15"/>
    <w:rsid w:val="00C53A7C"/>
    <w:rsid w:val="00C61B19"/>
    <w:rsid w:val="00C92032"/>
    <w:rsid w:val="00CD32F9"/>
    <w:rsid w:val="00D2733A"/>
    <w:rsid w:val="00D678CD"/>
    <w:rsid w:val="00D80C13"/>
    <w:rsid w:val="00D84252"/>
    <w:rsid w:val="00DA32E6"/>
    <w:rsid w:val="00DA73B9"/>
    <w:rsid w:val="00DB27F1"/>
    <w:rsid w:val="00DD012B"/>
    <w:rsid w:val="00E21E8F"/>
    <w:rsid w:val="00E35EBD"/>
    <w:rsid w:val="00E76AAC"/>
    <w:rsid w:val="00EB015E"/>
    <w:rsid w:val="00EC096B"/>
    <w:rsid w:val="00ED0FF6"/>
    <w:rsid w:val="00ED1B1E"/>
    <w:rsid w:val="00ED4CA8"/>
    <w:rsid w:val="00EF6B1B"/>
    <w:rsid w:val="00F268D3"/>
    <w:rsid w:val="00F52FFA"/>
    <w:rsid w:val="00F77011"/>
    <w:rsid w:val="00FC4DFF"/>
    <w:rsid w:val="00FE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qFormat/>
    <w:rsid w:val="00BA142D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60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007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AA60F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DD01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rmal (Web)"/>
    <w:basedOn w:val="a"/>
    <w:rsid w:val="00DD012B"/>
    <w:pPr>
      <w:widowControl w:val="0"/>
      <w:suppressAutoHyphens/>
      <w:spacing w:before="280" w:after="28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a6">
    <w:name w:val="Содержимое таблицы"/>
    <w:basedOn w:val="a"/>
    <w:rsid w:val="00DD012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a"/>
    <w:rsid w:val="00EB015E"/>
    <w:pPr>
      <w:widowControl w:val="0"/>
      <w:suppressAutoHyphens/>
      <w:spacing w:after="0" w:line="240" w:lineRule="auto"/>
      <w:ind w:left="120" w:right="120" w:firstLine="150"/>
    </w:pPr>
    <w:rPr>
      <w:rFonts w:ascii="Tahoma" w:eastAsia="Lucida Sans Unicode" w:hAnsi="Tahoma" w:cs="Tahoma"/>
      <w:kern w:val="1"/>
      <w:sz w:val="18"/>
      <w:szCs w:val="18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B6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0F98"/>
  </w:style>
  <w:style w:type="paragraph" w:styleId="a9">
    <w:name w:val="footer"/>
    <w:basedOn w:val="a"/>
    <w:link w:val="aa"/>
    <w:uiPriority w:val="99"/>
    <w:unhideWhenUsed/>
    <w:rsid w:val="00B6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0F98"/>
  </w:style>
  <w:style w:type="character" w:styleId="ab">
    <w:name w:val="Hyperlink"/>
    <w:uiPriority w:val="99"/>
    <w:semiHidden/>
    <w:unhideWhenUsed/>
    <w:rsid w:val="00ED4CA8"/>
    <w:rPr>
      <w:color w:val="0563C1"/>
      <w:u w:val="single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rsid w:val="00197C2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d">
    <w:name w:val="footnote text"/>
    <w:basedOn w:val="a"/>
    <w:link w:val="ae"/>
    <w:uiPriority w:val="99"/>
    <w:semiHidden/>
    <w:unhideWhenUsed/>
    <w:rsid w:val="00C61B1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61B1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61B19"/>
    <w:rPr>
      <w:vertAlign w:val="superscript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48108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9A3D8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rsid w:val="000E754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qFormat/>
    <w:rsid w:val="00BA142D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60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007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AA60F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DD01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rmal (Web)"/>
    <w:basedOn w:val="a"/>
    <w:rsid w:val="00DD012B"/>
    <w:pPr>
      <w:widowControl w:val="0"/>
      <w:suppressAutoHyphens/>
      <w:spacing w:before="280" w:after="28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a6">
    <w:name w:val="Содержимое таблицы"/>
    <w:basedOn w:val="a"/>
    <w:rsid w:val="00DD012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a"/>
    <w:rsid w:val="00EB015E"/>
    <w:pPr>
      <w:widowControl w:val="0"/>
      <w:suppressAutoHyphens/>
      <w:spacing w:after="0" w:line="240" w:lineRule="auto"/>
      <w:ind w:left="120" w:right="120" w:firstLine="150"/>
    </w:pPr>
    <w:rPr>
      <w:rFonts w:ascii="Tahoma" w:eastAsia="Lucida Sans Unicode" w:hAnsi="Tahoma" w:cs="Tahoma"/>
      <w:kern w:val="1"/>
      <w:sz w:val="18"/>
      <w:szCs w:val="18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B6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0F98"/>
  </w:style>
  <w:style w:type="paragraph" w:styleId="a9">
    <w:name w:val="footer"/>
    <w:basedOn w:val="a"/>
    <w:link w:val="aa"/>
    <w:uiPriority w:val="99"/>
    <w:unhideWhenUsed/>
    <w:rsid w:val="00B6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0F98"/>
  </w:style>
  <w:style w:type="character" w:styleId="ab">
    <w:name w:val="Hyperlink"/>
    <w:uiPriority w:val="99"/>
    <w:semiHidden/>
    <w:unhideWhenUsed/>
    <w:rsid w:val="00ED4CA8"/>
    <w:rPr>
      <w:color w:val="0563C1"/>
      <w:u w:val="single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rsid w:val="00197C2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d">
    <w:name w:val="footnote text"/>
    <w:basedOn w:val="a"/>
    <w:link w:val="ae"/>
    <w:uiPriority w:val="99"/>
    <w:semiHidden/>
    <w:unhideWhenUsed/>
    <w:rsid w:val="00C61B1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61B1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61B19"/>
    <w:rPr>
      <w:vertAlign w:val="superscript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48108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9A3D8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rsid w:val="000E754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CE637-9A5A-4878-A6B5-939F73FD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Гатина Анастасия Ивановна</dc:creator>
  <cp:lastModifiedBy>Гришаева Ангелина Сергеевна</cp:lastModifiedBy>
  <cp:revision>3</cp:revision>
  <cp:lastPrinted>2023-10-11T09:13:00Z</cp:lastPrinted>
  <dcterms:created xsi:type="dcterms:W3CDTF">2023-10-13T09:02:00Z</dcterms:created>
  <dcterms:modified xsi:type="dcterms:W3CDTF">2023-10-13T09:06:00Z</dcterms:modified>
</cp:coreProperties>
</file>