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7226CF" w:rsidRDefault="007226CF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1F763D" w:rsidRPr="00A227D7" w:rsidRDefault="001F763D" w:rsidP="001F763D">
      <w:pPr>
        <w:keepLines/>
        <w:widowControl w:val="0"/>
        <w:pBdr>
          <w:bottom w:val="single" w:sz="12" w:space="0" w:color="auto"/>
        </w:pBdr>
        <w:suppressAutoHyphens/>
        <w:jc w:val="center"/>
        <w:rPr>
          <w:b/>
        </w:rPr>
      </w:pPr>
      <w:r w:rsidRPr="00A227D7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1F763D" w:rsidRDefault="001F763D" w:rsidP="001F763D">
      <w:pPr>
        <w:keepLines/>
        <w:widowControl w:val="0"/>
        <w:pBdr>
          <w:bottom w:val="single" w:sz="12" w:space="0" w:color="auto"/>
        </w:pBdr>
        <w:suppressAutoHyphens/>
        <w:jc w:val="center"/>
        <w:rPr>
          <w:b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8933"/>
        <w:gridCol w:w="1134"/>
        <w:gridCol w:w="992"/>
        <w:gridCol w:w="1416"/>
        <w:gridCol w:w="1808"/>
      </w:tblGrid>
      <w:tr w:rsidR="001F763D" w:rsidRPr="000D352A" w:rsidTr="00BA06B4">
        <w:tc>
          <w:tcPr>
            <w:tcW w:w="189" w:type="pct"/>
          </w:tcPr>
          <w:p w:rsidR="001F763D" w:rsidRPr="000D352A" w:rsidRDefault="001F763D" w:rsidP="002A0763">
            <w:pPr>
              <w:keepLines/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3009" w:type="pct"/>
          </w:tcPr>
          <w:p w:rsidR="001F763D" w:rsidRPr="000D352A" w:rsidRDefault="001F763D" w:rsidP="002A0763">
            <w:pPr>
              <w:keepLines/>
              <w:widowControl w:val="0"/>
              <w:jc w:val="center"/>
            </w:pPr>
            <w:r w:rsidRPr="000D352A">
              <w:t>Наименование товара, работ, услуг</w:t>
            </w:r>
            <w:bookmarkStart w:id="0" w:name="_GoBack"/>
            <w:bookmarkEnd w:id="0"/>
          </w:p>
        </w:tc>
        <w:tc>
          <w:tcPr>
            <w:tcW w:w="382" w:type="pct"/>
          </w:tcPr>
          <w:p w:rsidR="001F763D" w:rsidRPr="000D352A" w:rsidRDefault="001F763D" w:rsidP="002A0763">
            <w:pPr>
              <w:keepLines/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334" w:type="pct"/>
          </w:tcPr>
          <w:p w:rsidR="001F763D" w:rsidRPr="000D352A" w:rsidRDefault="001F763D" w:rsidP="002A0763">
            <w:pPr>
              <w:keepLines/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477" w:type="pct"/>
          </w:tcPr>
          <w:p w:rsidR="001F763D" w:rsidRPr="000D352A" w:rsidRDefault="001F763D" w:rsidP="002A0763">
            <w:pPr>
              <w:keepLines/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e"/>
              </w:rPr>
              <w:footnoteReference w:id="1"/>
            </w:r>
            <w:r w:rsidRPr="000D352A">
              <w:t>, руб.</w:t>
            </w:r>
          </w:p>
        </w:tc>
        <w:tc>
          <w:tcPr>
            <w:tcW w:w="609" w:type="pct"/>
          </w:tcPr>
          <w:p w:rsidR="001F763D" w:rsidRPr="000D352A" w:rsidRDefault="001F763D" w:rsidP="002A0763">
            <w:pPr>
              <w:keepLines/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e"/>
              </w:rPr>
              <w:footnoteReference w:id="2"/>
            </w:r>
            <w:r w:rsidRPr="000D352A">
              <w:t>, руб.</w:t>
            </w:r>
          </w:p>
        </w:tc>
      </w:tr>
      <w:tr w:rsidR="001F763D" w:rsidRPr="000D352A" w:rsidTr="00BA06B4">
        <w:tc>
          <w:tcPr>
            <w:tcW w:w="189" w:type="pct"/>
          </w:tcPr>
          <w:p w:rsidR="001F763D" w:rsidRPr="000D352A" w:rsidRDefault="001F763D" w:rsidP="002A0763">
            <w:pPr>
              <w:keepLines/>
              <w:widowControl w:val="0"/>
            </w:pPr>
            <w:r>
              <w:t>1</w:t>
            </w:r>
          </w:p>
        </w:tc>
        <w:tc>
          <w:tcPr>
            <w:tcW w:w="3009" w:type="pct"/>
          </w:tcPr>
          <w:p w:rsidR="001F763D" w:rsidRPr="001F763D" w:rsidRDefault="001F763D" w:rsidP="001F763D">
            <w:pPr>
              <w:widowControl w:val="0"/>
              <w:jc w:val="center"/>
              <w:rPr>
                <w:rStyle w:val="ng-binding"/>
              </w:rPr>
            </w:pPr>
            <w:r w:rsidRPr="001F763D"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органов дыхания: Путевка с лечением для ребенка</w:t>
            </w:r>
          </w:p>
        </w:tc>
        <w:tc>
          <w:tcPr>
            <w:tcW w:w="382" w:type="pct"/>
          </w:tcPr>
          <w:p w:rsidR="001F763D" w:rsidRPr="001F763D" w:rsidRDefault="001F763D" w:rsidP="002A0763">
            <w:pPr>
              <w:keepLines/>
              <w:widowControl w:val="0"/>
              <w:jc w:val="center"/>
            </w:pPr>
            <w:r w:rsidRPr="001F763D">
              <w:t>1 050</w:t>
            </w:r>
          </w:p>
        </w:tc>
        <w:tc>
          <w:tcPr>
            <w:tcW w:w="334" w:type="pct"/>
          </w:tcPr>
          <w:p w:rsidR="001F763D" w:rsidRPr="000D352A" w:rsidRDefault="001F763D" w:rsidP="002A0763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477" w:type="pct"/>
          </w:tcPr>
          <w:p w:rsidR="001F763D" w:rsidRPr="000D352A" w:rsidRDefault="001F763D" w:rsidP="002A0763">
            <w:pPr>
              <w:keepLines/>
              <w:widowControl w:val="0"/>
              <w:jc w:val="center"/>
            </w:pPr>
            <w:r w:rsidRPr="007101FF">
              <w:t>1</w:t>
            </w:r>
            <w:r>
              <w:t> 461,30</w:t>
            </w:r>
          </w:p>
        </w:tc>
        <w:tc>
          <w:tcPr>
            <w:tcW w:w="609" w:type="pct"/>
          </w:tcPr>
          <w:p w:rsidR="001F763D" w:rsidRPr="001F763D" w:rsidRDefault="001F763D" w:rsidP="002A0763">
            <w:pPr>
              <w:keepLines/>
              <w:widowControl w:val="0"/>
              <w:jc w:val="center"/>
            </w:pPr>
            <w:r w:rsidRPr="001F763D">
              <w:t>1 534 365,00</w:t>
            </w:r>
          </w:p>
        </w:tc>
      </w:tr>
      <w:tr w:rsidR="001F763D" w:rsidRPr="000D352A" w:rsidTr="00BA06B4">
        <w:tc>
          <w:tcPr>
            <w:tcW w:w="189" w:type="pct"/>
          </w:tcPr>
          <w:p w:rsidR="001F763D" w:rsidRDefault="001F763D" w:rsidP="002A0763">
            <w:pPr>
              <w:keepLines/>
              <w:widowControl w:val="0"/>
            </w:pPr>
            <w:r>
              <w:t>2</w:t>
            </w:r>
          </w:p>
        </w:tc>
        <w:tc>
          <w:tcPr>
            <w:tcW w:w="3009" w:type="pct"/>
          </w:tcPr>
          <w:p w:rsidR="001F763D" w:rsidRPr="001F763D" w:rsidRDefault="001F763D" w:rsidP="001F763D">
            <w:pPr>
              <w:widowControl w:val="0"/>
              <w:jc w:val="center"/>
              <w:rPr>
                <w:rStyle w:val="ng-binding"/>
              </w:rPr>
            </w:pPr>
            <w:r w:rsidRPr="001F763D"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органов дыхания: Путевка для взрослого (сопровождающего)</w:t>
            </w:r>
          </w:p>
        </w:tc>
        <w:tc>
          <w:tcPr>
            <w:tcW w:w="382" w:type="pct"/>
          </w:tcPr>
          <w:p w:rsidR="001F763D" w:rsidRPr="001F763D" w:rsidRDefault="001F763D" w:rsidP="002A0763">
            <w:pPr>
              <w:keepLines/>
              <w:widowControl w:val="0"/>
              <w:jc w:val="center"/>
            </w:pPr>
            <w:r w:rsidRPr="001F763D">
              <w:t>1 050</w:t>
            </w:r>
          </w:p>
        </w:tc>
        <w:tc>
          <w:tcPr>
            <w:tcW w:w="334" w:type="pct"/>
          </w:tcPr>
          <w:p w:rsidR="001F763D" w:rsidRPr="000D352A" w:rsidRDefault="001F763D" w:rsidP="002A0763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477" w:type="pct"/>
          </w:tcPr>
          <w:p w:rsidR="001F763D" w:rsidRPr="000D352A" w:rsidRDefault="001F763D" w:rsidP="002A0763">
            <w:pPr>
              <w:keepLines/>
              <w:widowControl w:val="0"/>
              <w:jc w:val="center"/>
            </w:pPr>
            <w:r w:rsidRPr="007101FF">
              <w:t>1</w:t>
            </w:r>
            <w:r>
              <w:t> 461,30</w:t>
            </w:r>
          </w:p>
        </w:tc>
        <w:tc>
          <w:tcPr>
            <w:tcW w:w="609" w:type="pct"/>
          </w:tcPr>
          <w:p w:rsidR="001F763D" w:rsidRPr="001F763D" w:rsidRDefault="001F763D" w:rsidP="002A0763">
            <w:pPr>
              <w:keepLines/>
              <w:widowControl w:val="0"/>
              <w:jc w:val="center"/>
            </w:pPr>
            <w:r w:rsidRPr="001F763D">
              <w:t>1 534 365,00</w:t>
            </w:r>
          </w:p>
        </w:tc>
      </w:tr>
      <w:tr w:rsidR="001F763D" w:rsidRPr="000D352A" w:rsidTr="00BA06B4">
        <w:tc>
          <w:tcPr>
            <w:tcW w:w="3198" w:type="pct"/>
            <w:gridSpan w:val="2"/>
          </w:tcPr>
          <w:p w:rsidR="001F763D" w:rsidRPr="001F763D" w:rsidRDefault="001F763D" w:rsidP="001F763D">
            <w:pPr>
              <w:widowControl w:val="0"/>
              <w:rPr>
                <w:rStyle w:val="ng-binding"/>
                <w:b/>
              </w:rPr>
            </w:pPr>
            <w:r w:rsidRPr="001F763D">
              <w:rPr>
                <w:rStyle w:val="ng-binding"/>
                <w:b/>
              </w:rPr>
              <w:t>ИТОГО</w:t>
            </w:r>
            <w:r w:rsidRPr="001F763D">
              <w:rPr>
                <w:rStyle w:val="ng-binding"/>
                <w:b/>
                <w:lang w:val="en-US"/>
              </w:rPr>
              <w:t>:</w:t>
            </w:r>
          </w:p>
        </w:tc>
        <w:tc>
          <w:tcPr>
            <w:tcW w:w="382" w:type="pct"/>
          </w:tcPr>
          <w:p w:rsidR="001F763D" w:rsidRPr="008438E0" w:rsidRDefault="008438E0" w:rsidP="002A0763">
            <w:pPr>
              <w:keepLines/>
              <w:widowControl w:val="0"/>
              <w:jc w:val="center"/>
              <w:rPr>
                <w:b/>
                <w:color w:val="000000" w:themeColor="text1"/>
              </w:rPr>
            </w:pPr>
            <w:r w:rsidRPr="008438E0">
              <w:rPr>
                <w:b/>
                <w:color w:val="000000" w:themeColor="text1"/>
              </w:rPr>
              <w:t>2 100</w:t>
            </w:r>
          </w:p>
        </w:tc>
        <w:tc>
          <w:tcPr>
            <w:tcW w:w="334" w:type="pct"/>
          </w:tcPr>
          <w:p w:rsidR="001F763D" w:rsidRPr="007101FF" w:rsidRDefault="001F763D" w:rsidP="002A0763">
            <w:pPr>
              <w:keepLines/>
              <w:widowControl w:val="0"/>
              <w:jc w:val="center"/>
            </w:pPr>
          </w:p>
        </w:tc>
        <w:tc>
          <w:tcPr>
            <w:tcW w:w="477" w:type="pct"/>
          </w:tcPr>
          <w:p w:rsidR="001F763D" w:rsidRPr="007101FF" w:rsidRDefault="001F763D" w:rsidP="002A0763">
            <w:pPr>
              <w:keepLines/>
              <w:widowControl w:val="0"/>
              <w:jc w:val="center"/>
            </w:pPr>
          </w:p>
        </w:tc>
        <w:tc>
          <w:tcPr>
            <w:tcW w:w="609" w:type="pct"/>
          </w:tcPr>
          <w:p w:rsidR="001F763D" w:rsidRPr="008438E0" w:rsidRDefault="008438E0" w:rsidP="002A0763">
            <w:pPr>
              <w:keepLines/>
              <w:widowControl w:val="0"/>
              <w:jc w:val="center"/>
              <w:rPr>
                <w:b/>
                <w:color w:val="000000" w:themeColor="text1"/>
              </w:rPr>
            </w:pPr>
            <w:r w:rsidRPr="008438E0">
              <w:rPr>
                <w:b/>
                <w:color w:val="000000" w:themeColor="text1"/>
              </w:rPr>
              <w:t>3 068 730,00</w:t>
            </w:r>
          </w:p>
        </w:tc>
      </w:tr>
    </w:tbl>
    <w:p w:rsidR="001F763D" w:rsidRPr="000D352A" w:rsidRDefault="001F763D" w:rsidP="001F763D">
      <w:pPr>
        <w:keepLines/>
        <w:widowControl w:val="0"/>
        <w:tabs>
          <w:tab w:val="left" w:pos="5865"/>
        </w:tabs>
        <w:jc w:val="center"/>
      </w:pP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Количество путевок – 100 штук из них: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50 путевок для детей – инвалидов с заболеваниями органов дыхания;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50 путевок для сопровождающих лиц;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Продолжительность лечения – 21 койко-день;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койко-дня для детей-инвалидов и их сопровождающих лиц – 1 461 (Одна тысяча четыреста шестьдесят один) рубль 30 копеек;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путевки для лечения детей-инвалидов и их сопровождающих лиц – 30 687 (Тридцать тысяч шестьсот восемьдесят семь) рублей 30 копеек</w:t>
      </w:r>
      <w:r w:rsidR="008438E0">
        <w:t>.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1F763D" w:rsidRDefault="001F763D" w:rsidP="001F763D">
      <w:pPr>
        <w:widowControl w:val="0"/>
        <w:ind w:firstLine="567"/>
        <w:jc w:val="both"/>
      </w:pPr>
      <w:r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1F763D" w:rsidRDefault="001F763D" w:rsidP="001F763D">
      <w:pPr>
        <w:widowControl w:val="0"/>
        <w:ind w:firstLine="567"/>
        <w:jc w:val="both"/>
      </w:pPr>
      <w:r w:rsidRPr="00370EA1">
        <w:t>от 22.11.2004 № 212 «Об утверждении стандарта санаторно-курортной помощи больным с болезнями органов дыхания»</w:t>
      </w:r>
      <w:r w:rsidRPr="00AD5328">
        <w:t>;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4B79C6">
        <w:t>от 23.11.2004 № 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lastRenderedPageBreak/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«Рекомендациями по организации работы санаторно-курортных учреждений в условиях сохранения рисков распространения COVID-19», разработанных Федеральной службой по надзору в сфере защиты прав потребителей и благополучия человека.</w:t>
      </w:r>
    </w:p>
    <w:p w:rsidR="001F763D" w:rsidRPr="00A837C5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 w:rsidRPr="00A837C5">
        <w:rPr>
          <w:b/>
        </w:rPr>
        <w:t>Требования к техническим характеристикам услуг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1.1.1. Действующих лицензий на медицинскую деятельность по оказанию санаторно-курортной помощи по профилям: «Педиатрия», </w:t>
      </w:r>
      <w:r w:rsidRPr="004B79C6">
        <w:t xml:space="preserve">«Оториноларингология», </w:t>
      </w:r>
      <w:r w:rsidRPr="00082D75">
        <w:t>«</w:t>
      </w:r>
      <w:r w:rsidRPr="000574D9">
        <w:t>Пульмонология</w:t>
      </w:r>
      <w:r w:rsidRPr="00082D75">
        <w:t>»,</w:t>
      </w:r>
      <w:r w:rsidRPr="00C23C0C">
        <w:t xml:space="preserve"> </w:t>
      </w:r>
      <w:r>
        <w:t xml:space="preserve">предоставленных лицензирующим органом в соответствии с Федеральным законом от 04.05.2011 № 99-ФЗ «О лицензировании отдельных видов деятельности» и </w:t>
      </w:r>
      <w:r w:rsidRPr="00A363F0"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363F0">
        <w:t>Сколково</w:t>
      </w:r>
      <w:proofErr w:type="spellEnd"/>
      <w:r w:rsidRPr="00A363F0">
        <w:t>»)»;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1.1.2. Действующих сертификатов соответствия на питание, проживание.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lastRenderedPageBreak/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системой кондиционирования;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холодного и горячего водоснабжения;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-оборудованы системами по обеспечению пациентов питьевой водой круглосуточно;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лифтом с круглосуточным подъемом и спуском: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а) более двух этажей;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б) более трех этажей (грузовой и пассажирский лифт отдельно).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1.12. Дополнительно предоставляемые услуги: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E07B74">
        <w:t xml:space="preserve">- наличие </w:t>
      </w:r>
      <w:r>
        <w:t>бассейна</w:t>
      </w:r>
      <w:r w:rsidRPr="00E07B74">
        <w:t>;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охраняемой автостоянки (бесплатно);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1F763D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досуга.</w:t>
      </w:r>
    </w:p>
    <w:p w:rsidR="001F763D" w:rsidRPr="00A37E77" w:rsidRDefault="001F763D" w:rsidP="001F763D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A37E77">
        <w:t xml:space="preserve">1.13. Место доставки товара, выполнения работы или оказания услуг: </w:t>
      </w:r>
      <w:r>
        <w:t>Черноморское побережье, Республика Крым</w:t>
      </w:r>
      <w:r w:rsidRPr="00A37E77">
        <w:t>.</w:t>
      </w:r>
    </w:p>
    <w:p w:rsidR="008E03D2" w:rsidRDefault="001F763D" w:rsidP="001F763D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091288">
        <w:rPr>
          <w:color w:val="000000" w:themeColor="text1"/>
        </w:rPr>
        <w:t xml:space="preserve">Сроки оказания услуг – </w:t>
      </w:r>
      <w:r>
        <w:rPr>
          <w:color w:val="000000" w:themeColor="text1"/>
        </w:rPr>
        <w:t>в</w:t>
      </w:r>
      <w:r w:rsidRPr="00CD79E9">
        <w:rPr>
          <w:lang w:eastAsia="en-US"/>
        </w:rPr>
        <w:t xml:space="preserve"> течение 2022 года, окончание санаторно-курортного лечения (выезд) не позднее </w:t>
      </w:r>
      <w:r>
        <w:rPr>
          <w:lang w:eastAsia="en-US"/>
        </w:rPr>
        <w:t>2</w:t>
      </w:r>
      <w:r w:rsidRPr="00EA715E">
        <w:rPr>
          <w:lang w:eastAsia="en-US"/>
        </w:rPr>
        <w:t>0 сентября 2022 года.</w:t>
      </w:r>
    </w:p>
    <w:sectPr w:rsidR="008E03D2" w:rsidSect="004A3DD3">
      <w:pgSz w:w="16838" w:h="11906" w:orient="landscape" w:code="9"/>
      <w:pgMar w:top="567" w:right="992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85" w:rsidRDefault="005D6485" w:rsidP="00724E45">
      <w:r>
        <w:separator/>
      </w:r>
    </w:p>
  </w:endnote>
  <w:endnote w:type="continuationSeparator" w:id="0">
    <w:p w:rsidR="005D6485" w:rsidRDefault="005D648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85" w:rsidRDefault="005D6485" w:rsidP="00724E45">
      <w:r>
        <w:separator/>
      </w:r>
    </w:p>
  </w:footnote>
  <w:footnote w:type="continuationSeparator" w:id="0">
    <w:p w:rsidR="005D6485" w:rsidRDefault="005D6485" w:rsidP="00724E45">
      <w:r>
        <w:continuationSeparator/>
      </w:r>
    </w:p>
  </w:footnote>
  <w:footnote w:id="1">
    <w:p w:rsidR="001F763D" w:rsidRDefault="001F763D" w:rsidP="001F763D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1F763D" w:rsidRDefault="001F763D" w:rsidP="001F763D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AE3D0F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764CC"/>
    <w:multiLevelType w:val="hybridMultilevel"/>
    <w:tmpl w:val="80D6F93C"/>
    <w:lvl w:ilvl="0" w:tplc="E08C1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0163A7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3F60CA"/>
    <w:multiLevelType w:val="hybridMultilevel"/>
    <w:tmpl w:val="64EABD18"/>
    <w:lvl w:ilvl="0" w:tplc="1F324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C32948"/>
    <w:multiLevelType w:val="hybridMultilevel"/>
    <w:tmpl w:val="9B187C9E"/>
    <w:lvl w:ilvl="0" w:tplc="434AF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D37A05"/>
    <w:multiLevelType w:val="hybridMultilevel"/>
    <w:tmpl w:val="9322E672"/>
    <w:lvl w:ilvl="0" w:tplc="D7265A5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D52445"/>
    <w:multiLevelType w:val="hybridMultilevel"/>
    <w:tmpl w:val="F5B84FCC"/>
    <w:lvl w:ilvl="0" w:tplc="F2D8E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014FC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60AF0"/>
    <w:rsid w:val="000624C4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E1274"/>
    <w:rsid w:val="000E364F"/>
    <w:rsid w:val="000E555C"/>
    <w:rsid w:val="000F1A80"/>
    <w:rsid w:val="000F4BEB"/>
    <w:rsid w:val="000F6B1C"/>
    <w:rsid w:val="000F75E3"/>
    <w:rsid w:val="001056A3"/>
    <w:rsid w:val="00106734"/>
    <w:rsid w:val="00107905"/>
    <w:rsid w:val="00112A63"/>
    <w:rsid w:val="0012790B"/>
    <w:rsid w:val="0013001C"/>
    <w:rsid w:val="001500ED"/>
    <w:rsid w:val="00151ADC"/>
    <w:rsid w:val="00152D81"/>
    <w:rsid w:val="00162F09"/>
    <w:rsid w:val="00172512"/>
    <w:rsid w:val="00173917"/>
    <w:rsid w:val="001808B7"/>
    <w:rsid w:val="00197AB1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1F763D"/>
    <w:rsid w:val="00210F69"/>
    <w:rsid w:val="00212164"/>
    <w:rsid w:val="00220904"/>
    <w:rsid w:val="00222167"/>
    <w:rsid w:val="002239DA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20E13"/>
    <w:rsid w:val="003309DC"/>
    <w:rsid w:val="003318C8"/>
    <w:rsid w:val="00340EA6"/>
    <w:rsid w:val="00341193"/>
    <w:rsid w:val="00341744"/>
    <w:rsid w:val="00343A5C"/>
    <w:rsid w:val="00345CA0"/>
    <w:rsid w:val="00350723"/>
    <w:rsid w:val="00354D63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93470"/>
    <w:rsid w:val="003A7C30"/>
    <w:rsid w:val="003B251F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70C47"/>
    <w:rsid w:val="00483903"/>
    <w:rsid w:val="00490176"/>
    <w:rsid w:val="0049220D"/>
    <w:rsid w:val="00493B4C"/>
    <w:rsid w:val="00496022"/>
    <w:rsid w:val="004A0DF2"/>
    <w:rsid w:val="004A0F9C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B7E70"/>
    <w:rsid w:val="005C188A"/>
    <w:rsid w:val="005D0376"/>
    <w:rsid w:val="005D1EED"/>
    <w:rsid w:val="005D6485"/>
    <w:rsid w:val="005E1B1B"/>
    <w:rsid w:val="005E4108"/>
    <w:rsid w:val="005F236C"/>
    <w:rsid w:val="005F53D9"/>
    <w:rsid w:val="005F620B"/>
    <w:rsid w:val="006004D6"/>
    <w:rsid w:val="00604194"/>
    <w:rsid w:val="00610C62"/>
    <w:rsid w:val="0063365B"/>
    <w:rsid w:val="00636E5C"/>
    <w:rsid w:val="006376A4"/>
    <w:rsid w:val="0065116A"/>
    <w:rsid w:val="0065235E"/>
    <w:rsid w:val="006526BA"/>
    <w:rsid w:val="00652AC7"/>
    <w:rsid w:val="00653667"/>
    <w:rsid w:val="00654E39"/>
    <w:rsid w:val="00656C83"/>
    <w:rsid w:val="00663EC7"/>
    <w:rsid w:val="006674B7"/>
    <w:rsid w:val="0067020A"/>
    <w:rsid w:val="00672163"/>
    <w:rsid w:val="00673218"/>
    <w:rsid w:val="00684709"/>
    <w:rsid w:val="00687D60"/>
    <w:rsid w:val="00691441"/>
    <w:rsid w:val="0069229C"/>
    <w:rsid w:val="006A690F"/>
    <w:rsid w:val="006B2D6B"/>
    <w:rsid w:val="006B66AD"/>
    <w:rsid w:val="006C0D0D"/>
    <w:rsid w:val="006D013C"/>
    <w:rsid w:val="006D04A4"/>
    <w:rsid w:val="006D2319"/>
    <w:rsid w:val="006D676E"/>
    <w:rsid w:val="006E2FF2"/>
    <w:rsid w:val="006F1E77"/>
    <w:rsid w:val="006F78F8"/>
    <w:rsid w:val="0070161A"/>
    <w:rsid w:val="00703EC2"/>
    <w:rsid w:val="007226CF"/>
    <w:rsid w:val="00724E45"/>
    <w:rsid w:val="007305BE"/>
    <w:rsid w:val="007356BB"/>
    <w:rsid w:val="00746719"/>
    <w:rsid w:val="00754FCA"/>
    <w:rsid w:val="0076477B"/>
    <w:rsid w:val="0077036B"/>
    <w:rsid w:val="00770716"/>
    <w:rsid w:val="00773A04"/>
    <w:rsid w:val="007748CC"/>
    <w:rsid w:val="00787DA9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1BFF"/>
    <w:rsid w:val="0083560A"/>
    <w:rsid w:val="00837243"/>
    <w:rsid w:val="00842FFA"/>
    <w:rsid w:val="008438E0"/>
    <w:rsid w:val="0084452F"/>
    <w:rsid w:val="00855670"/>
    <w:rsid w:val="00860A1C"/>
    <w:rsid w:val="00861C07"/>
    <w:rsid w:val="008624E1"/>
    <w:rsid w:val="00865A49"/>
    <w:rsid w:val="00867945"/>
    <w:rsid w:val="00874EDD"/>
    <w:rsid w:val="00885D1B"/>
    <w:rsid w:val="00897E35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03D2"/>
    <w:rsid w:val="008E294C"/>
    <w:rsid w:val="008E4BBF"/>
    <w:rsid w:val="008F4EE0"/>
    <w:rsid w:val="008F5D10"/>
    <w:rsid w:val="00900EF8"/>
    <w:rsid w:val="009032EE"/>
    <w:rsid w:val="00905FDC"/>
    <w:rsid w:val="0090777F"/>
    <w:rsid w:val="00911411"/>
    <w:rsid w:val="00912646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B1461"/>
    <w:rsid w:val="009C4081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16BC"/>
    <w:rsid w:val="00A0403E"/>
    <w:rsid w:val="00A11B3C"/>
    <w:rsid w:val="00A139D8"/>
    <w:rsid w:val="00A227D7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3828"/>
    <w:rsid w:val="00A65509"/>
    <w:rsid w:val="00A72733"/>
    <w:rsid w:val="00A73FC5"/>
    <w:rsid w:val="00A74619"/>
    <w:rsid w:val="00A74F3E"/>
    <w:rsid w:val="00A80EA1"/>
    <w:rsid w:val="00A85DC9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3506"/>
    <w:rsid w:val="00B3752F"/>
    <w:rsid w:val="00B420E3"/>
    <w:rsid w:val="00B5497A"/>
    <w:rsid w:val="00B708A0"/>
    <w:rsid w:val="00B71B55"/>
    <w:rsid w:val="00B76290"/>
    <w:rsid w:val="00B806F0"/>
    <w:rsid w:val="00B81981"/>
    <w:rsid w:val="00B87BF9"/>
    <w:rsid w:val="00B87D3C"/>
    <w:rsid w:val="00B9452A"/>
    <w:rsid w:val="00B95999"/>
    <w:rsid w:val="00BA06B4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65EE"/>
    <w:rsid w:val="00C571C2"/>
    <w:rsid w:val="00C62442"/>
    <w:rsid w:val="00C628BD"/>
    <w:rsid w:val="00C72660"/>
    <w:rsid w:val="00C73226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53B94"/>
    <w:rsid w:val="00D53CC7"/>
    <w:rsid w:val="00D5450F"/>
    <w:rsid w:val="00D55733"/>
    <w:rsid w:val="00D55B1D"/>
    <w:rsid w:val="00D65843"/>
    <w:rsid w:val="00D67998"/>
    <w:rsid w:val="00D758CB"/>
    <w:rsid w:val="00D80D43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279C"/>
    <w:rsid w:val="00DE2C08"/>
    <w:rsid w:val="00DE3852"/>
    <w:rsid w:val="00DE4B96"/>
    <w:rsid w:val="00DE60E6"/>
    <w:rsid w:val="00DF0402"/>
    <w:rsid w:val="00DF4535"/>
    <w:rsid w:val="00DF4F39"/>
    <w:rsid w:val="00DF659E"/>
    <w:rsid w:val="00DF7D85"/>
    <w:rsid w:val="00E00169"/>
    <w:rsid w:val="00E13CF9"/>
    <w:rsid w:val="00E168D7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B042E"/>
    <w:rsid w:val="00EB55FD"/>
    <w:rsid w:val="00EB76DA"/>
    <w:rsid w:val="00ED1C03"/>
    <w:rsid w:val="00EF07D2"/>
    <w:rsid w:val="00EF20A9"/>
    <w:rsid w:val="00EF4391"/>
    <w:rsid w:val="00EF4990"/>
    <w:rsid w:val="00F14B21"/>
    <w:rsid w:val="00F20350"/>
    <w:rsid w:val="00F22B5A"/>
    <w:rsid w:val="00F35EC7"/>
    <w:rsid w:val="00F37C4A"/>
    <w:rsid w:val="00F47DA0"/>
    <w:rsid w:val="00F47DAA"/>
    <w:rsid w:val="00F505F1"/>
    <w:rsid w:val="00F548D8"/>
    <w:rsid w:val="00F629DD"/>
    <w:rsid w:val="00F940D4"/>
    <w:rsid w:val="00F9749D"/>
    <w:rsid w:val="00F97875"/>
    <w:rsid w:val="00FA2447"/>
    <w:rsid w:val="00FB08B7"/>
    <w:rsid w:val="00FB7811"/>
    <w:rsid w:val="00FC16AD"/>
    <w:rsid w:val="00FC5486"/>
    <w:rsid w:val="00FC795B"/>
    <w:rsid w:val="00FD1CC5"/>
    <w:rsid w:val="00FE44ED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  <w:style w:type="table" w:customStyle="1" w:styleId="2">
    <w:name w:val="Сетка таблицы2"/>
    <w:basedOn w:val="a1"/>
    <w:next w:val="a6"/>
    <w:uiPriority w:val="59"/>
    <w:rsid w:val="007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714B-9126-491B-9EF9-E4BD8519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Кизилова Татьяна Анатольевна</cp:lastModifiedBy>
  <cp:revision>28</cp:revision>
  <cp:lastPrinted>2022-05-26T06:37:00Z</cp:lastPrinted>
  <dcterms:created xsi:type="dcterms:W3CDTF">2022-05-27T10:11:00Z</dcterms:created>
  <dcterms:modified xsi:type="dcterms:W3CDTF">2022-06-07T08:21:00Z</dcterms:modified>
</cp:coreProperties>
</file>