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829" w:type="dxa"/>
        <w:tblInd w:w="-127" w:type="dxa"/>
        <w:tblLayout w:type="fixed"/>
        <w:tblLook w:val="04A0" w:firstRow="1" w:lastRow="0" w:firstColumn="1" w:lastColumn="0" w:noHBand="0" w:noVBand="1"/>
      </w:tblPr>
      <w:tblGrid>
        <w:gridCol w:w="2122"/>
        <w:gridCol w:w="5486"/>
        <w:gridCol w:w="883"/>
        <w:gridCol w:w="887"/>
        <w:gridCol w:w="1451"/>
      </w:tblGrid>
      <w:tr w:rsidR="002B72D2" w:rsidRPr="0097601A" w:rsidTr="00F55525">
        <w:tc>
          <w:tcPr>
            <w:tcW w:w="10829" w:type="dxa"/>
            <w:gridSpan w:val="5"/>
            <w:tcBorders>
              <w:top w:val="nil"/>
              <w:left w:val="nil"/>
              <w:bottom w:val="single" w:sz="4" w:space="0" w:color="auto"/>
              <w:right w:val="nil"/>
            </w:tcBorders>
            <w:vAlign w:val="center"/>
          </w:tcPr>
          <w:p w:rsidR="002B72D2" w:rsidRPr="0097601A" w:rsidRDefault="002C6D8F" w:rsidP="0097601A">
            <w:pPr>
              <w:pStyle w:val="ConsPlusNormal"/>
              <w:ind w:firstLine="0"/>
              <w:jc w:val="center"/>
              <w:rPr>
                <w:rFonts w:ascii="Times New Roman" w:hAnsi="Times New Roman" w:cs="Times New Roman"/>
                <w:b/>
                <w:sz w:val="24"/>
                <w:szCs w:val="24"/>
              </w:rPr>
            </w:pPr>
            <w:r w:rsidRPr="0097601A">
              <w:rPr>
                <w:rFonts w:ascii="Times New Roman" w:hAnsi="Times New Roman" w:cs="Times New Roman"/>
                <w:b/>
                <w:sz w:val="24"/>
                <w:szCs w:val="24"/>
              </w:rPr>
              <w:t>Описание объекта закупки</w:t>
            </w:r>
          </w:p>
          <w:p w:rsidR="002B72D2" w:rsidRPr="0097601A" w:rsidRDefault="002B72D2" w:rsidP="0097601A">
            <w:pPr>
              <w:pStyle w:val="a8"/>
              <w:spacing w:before="0" w:after="0"/>
              <w:jc w:val="center"/>
              <w:rPr>
                <w:b/>
                <w:lang w:eastAsia="ru-RU"/>
              </w:rPr>
            </w:pPr>
            <w:r w:rsidRPr="0097601A">
              <w:rPr>
                <w:b/>
                <w:lang w:eastAsia="ru-RU"/>
              </w:rPr>
              <w:t>на поставку специальных средств при нарушениях функций выделения инвалидам и отдельных категорий граждан из числа ветеранов в 2023 году</w:t>
            </w:r>
          </w:p>
          <w:p w:rsidR="002B72D2" w:rsidRPr="0097601A" w:rsidRDefault="002B72D2" w:rsidP="0097601A">
            <w:pPr>
              <w:pStyle w:val="ConsPlusNormal"/>
              <w:ind w:firstLine="0"/>
              <w:jc w:val="center"/>
              <w:rPr>
                <w:rFonts w:ascii="Times New Roman" w:hAnsi="Times New Roman" w:cs="Times New Roman"/>
                <w:kern w:val="3"/>
                <w:sz w:val="24"/>
                <w:szCs w:val="24"/>
              </w:rPr>
            </w:pPr>
          </w:p>
        </w:tc>
      </w:tr>
      <w:tr w:rsidR="006E703F" w:rsidRPr="0097601A" w:rsidTr="00F55525">
        <w:tc>
          <w:tcPr>
            <w:tcW w:w="2122" w:type="dxa"/>
            <w:tcBorders>
              <w:top w:val="single" w:sz="4" w:space="0" w:color="auto"/>
              <w:left w:val="single" w:sz="4" w:space="0" w:color="auto"/>
              <w:bottom w:val="single" w:sz="4" w:space="0" w:color="auto"/>
              <w:right w:val="single" w:sz="4" w:space="0" w:color="auto"/>
            </w:tcBorders>
            <w:vAlign w:val="center"/>
          </w:tcPr>
          <w:p w:rsidR="006E703F" w:rsidRPr="0097601A" w:rsidRDefault="006E703F" w:rsidP="0097601A">
            <w:pPr>
              <w:pStyle w:val="ConsPlusNormal"/>
              <w:ind w:firstLine="0"/>
              <w:jc w:val="center"/>
              <w:rPr>
                <w:rFonts w:ascii="Times New Roman" w:hAnsi="Times New Roman" w:cs="Times New Roman"/>
                <w:b/>
                <w:kern w:val="3"/>
                <w:sz w:val="18"/>
                <w:szCs w:val="18"/>
              </w:rPr>
            </w:pPr>
            <w:r w:rsidRPr="0097601A">
              <w:rPr>
                <w:rFonts w:ascii="Times New Roman" w:hAnsi="Times New Roman" w:cs="Times New Roman"/>
                <w:b/>
                <w:kern w:val="3"/>
                <w:sz w:val="18"/>
                <w:szCs w:val="18"/>
              </w:rPr>
              <w:t xml:space="preserve">Наименование Товара </w:t>
            </w:r>
          </w:p>
        </w:tc>
        <w:tc>
          <w:tcPr>
            <w:tcW w:w="5486" w:type="dxa"/>
            <w:tcBorders>
              <w:top w:val="single" w:sz="4" w:space="0" w:color="auto"/>
              <w:left w:val="single" w:sz="4" w:space="0" w:color="auto"/>
              <w:bottom w:val="single" w:sz="4" w:space="0" w:color="auto"/>
              <w:right w:val="single" w:sz="4" w:space="0" w:color="auto"/>
            </w:tcBorders>
            <w:vAlign w:val="center"/>
          </w:tcPr>
          <w:p w:rsidR="006E703F" w:rsidRPr="0097601A" w:rsidRDefault="006E703F" w:rsidP="0097601A">
            <w:pPr>
              <w:pStyle w:val="ConsPlusNormal"/>
              <w:ind w:firstLine="0"/>
              <w:jc w:val="center"/>
              <w:rPr>
                <w:rFonts w:ascii="Times New Roman" w:hAnsi="Times New Roman" w:cs="Times New Roman"/>
                <w:b/>
                <w:kern w:val="3"/>
                <w:sz w:val="18"/>
                <w:szCs w:val="18"/>
              </w:rPr>
            </w:pPr>
            <w:r w:rsidRPr="0097601A">
              <w:rPr>
                <w:rFonts w:ascii="Times New Roman" w:hAnsi="Times New Roman" w:cs="Times New Roman"/>
                <w:b/>
                <w:kern w:val="3"/>
                <w:sz w:val="18"/>
                <w:szCs w:val="18"/>
              </w:rPr>
              <w:t>Требования, предъявляемые к техническим и функциональным характеристикам Товара</w:t>
            </w:r>
          </w:p>
        </w:tc>
        <w:tc>
          <w:tcPr>
            <w:tcW w:w="883" w:type="dxa"/>
            <w:tcBorders>
              <w:top w:val="single" w:sz="4" w:space="0" w:color="auto"/>
              <w:left w:val="single" w:sz="4" w:space="0" w:color="auto"/>
              <w:bottom w:val="single" w:sz="4" w:space="0" w:color="auto"/>
              <w:right w:val="single" w:sz="4" w:space="0" w:color="auto"/>
            </w:tcBorders>
            <w:vAlign w:val="center"/>
          </w:tcPr>
          <w:p w:rsidR="006E703F" w:rsidRPr="0097601A" w:rsidRDefault="006E703F" w:rsidP="0097601A">
            <w:pPr>
              <w:pStyle w:val="ConsPlusNormal"/>
              <w:ind w:firstLine="0"/>
              <w:jc w:val="center"/>
              <w:rPr>
                <w:rFonts w:ascii="Times New Roman" w:hAnsi="Times New Roman" w:cs="Times New Roman"/>
                <w:b/>
                <w:kern w:val="3"/>
                <w:sz w:val="18"/>
                <w:szCs w:val="18"/>
              </w:rPr>
            </w:pPr>
            <w:r w:rsidRPr="0097601A">
              <w:rPr>
                <w:rFonts w:ascii="Times New Roman" w:hAnsi="Times New Roman" w:cs="Times New Roman"/>
                <w:b/>
                <w:kern w:val="3"/>
                <w:sz w:val="18"/>
                <w:szCs w:val="18"/>
              </w:rPr>
              <w:t>Кол-во, шт</w:t>
            </w:r>
            <w:r w:rsidR="00936A89" w:rsidRPr="0097601A">
              <w:rPr>
                <w:rFonts w:ascii="Times New Roman" w:hAnsi="Times New Roman" w:cs="Times New Roman"/>
                <w:b/>
                <w:kern w:val="3"/>
                <w:sz w:val="18"/>
                <w:szCs w:val="18"/>
                <w:lang w:val="en-US"/>
              </w:rPr>
              <w:t>.</w:t>
            </w:r>
          </w:p>
        </w:tc>
        <w:tc>
          <w:tcPr>
            <w:tcW w:w="887" w:type="dxa"/>
            <w:tcBorders>
              <w:top w:val="single" w:sz="4" w:space="0" w:color="auto"/>
              <w:left w:val="single" w:sz="4" w:space="0" w:color="auto"/>
              <w:bottom w:val="single" w:sz="4" w:space="0" w:color="auto"/>
              <w:right w:val="single" w:sz="4" w:space="0" w:color="auto"/>
            </w:tcBorders>
            <w:vAlign w:val="center"/>
          </w:tcPr>
          <w:p w:rsidR="006E703F" w:rsidRPr="0097601A" w:rsidRDefault="006E703F" w:rsidP="0097601A">
            <w:pPr>
              <w:pStyle w:val="ConsPlusNormal"/>
              <w:ind w:firstLine="0"/>
              <w:jc w:val="center"/>
              <w:rPr>
                <w:rFonts w:ascii="Times New Roman" w:hAnsi="Times New Roman" w:cs="Times New Roman"/>
                <w:b/>
                <w:kern w:val="3"/>
                <w:sz w:val="18"/>
                <w:szCs w:val="18"/>
              </w:rPr>
            </w:pPr>
            <w:r w:rsidRPr="0097601A">
              <w:rPr>
                <w:rFonts w:ascii="Times New Roman" w:hAnsi="Times New Roman" w:cs="Times New Roman"/>
                <w:b/>
                <w:kern w:val="3"/>
                <w:sz w:val="18"/>
                <w:szCs w:val="18"/>
              </w:rPr>
              <w:t>Цена за единицу, руб.</w:t>
            </w:r>
          </w:p>
        </w:tc>
        <w:tc>
          <w:tcPr>
            <w:tcW w:w="1451" w:type="dxa"/>
            <w:tcBorders>
              <w:top w:val="single" w:sz="4" w:space="0" w:color="auto"/>
              <w:left w:val="single" w:sz="4" w:space="0" w:color="auto"/>
              <w:bottom w:val="single" w:sz="4" w:space="0" w:color="auto"/>
              <w:right w:val="single" w:sz="4" w:space="0" w:color="auto"/>
            </w:tcBorders>
            <w:vAlign w:val="center"/>
          </w:tcPr>
          <w:p w:rsidR="006E703F" w:rsidRPr="0097601A" w:rsidRDefault="002C6D8F" w:rsidP="0097601A">
            <w:pPr>
              <w:pStyle w:val="ConsPlusNormal"/>
              <w:ind w:firstLine="0"/>
              <w:jc w:val="center"/>
              <w:rPr>
                <w:rFonts w:ascii="Times New Roman" w:hAnsi="Times New Roman" w:cs="Times New Roman"/>
                <w:b/>
                <w:kern w:val="3"/>
                <w:sz w:val="18"/>
                <w:szCs w:val="18"/>
              </w:rPr>
            </w:pPr>
            <w:r w:rsidRPr="0097601A">
              <w:rPr>
                <w:rFonts w:ascii="Times New Roman" w:hAnsi="Times New Roman" w:cs="Times New Roman"/>
                <w:b/>
                <w:kern w:val="3"/>
                <w:sz w:val="18"/>
                <w:szCs w:val="18"/>
              </w:rPr>
              <w:t>Начальная с</w:t>
            </w:r>
            <w:r w:rsidR="006E703F" w:rsidRPr="0097601A">
              <w:rPr>
                <w:rFonts w:ascii="Times New Roman" w:hAnsi="Times New Roman" w:cs="Times New Roman"/>
                <w:b/>
                <w:kern w:val="3"/>
                <w:sz w:val="18"/>
                <w:szCs w:val="18"/>
              </w:rPr>
              <w:t>тоимость, руб.</w:t>
            </w:r>
          </w:p>
        </w:tc>
      </w:tr>
      <w:tr w:rsidR="00936A89" w:rsidRPr="0097601A" w:rsidTr="00F55525">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rsidR="00936A89" w:rsidRPr="0097601A" w:rsidRDefault="00936A89" w:rsidP="0097601A">
            <w:pPr>
              <w:rPr>
                <w:rFonts w:ascii="Times New Roman" w:hAnsi="Times New Roman" w:cs="Times New Roman"/>
                <w:lang w:eastAsia="ru-RU"/>
              </w:rPr>
            </w:pPr>
            <w:r w:rsidRPr="0097601A">
              <w:rPr>
                <w:rFonts w:ascii="Times New Roman" w:hAnsi="Times New Roman" w:cs="Times New Roman"/>
              </w:rPr>
              <w:t>21-01-27 Анальный тампон (средство ухода при недержании кала)</w:t>
            </w:r>
          </w:p>
        </w:tc>
        <w:tc>
          <w:tcPr>
            <w:tcW w:w="5486" w:type="dxa"/>
            <w:tcBorders>
              <w:bottom w:val="single" w:sz="4" w:space="0" w:color="auto"/>
            </w:tcBorders>
            <w:vAlign w:val="center"/>
          </w:tcPr>
          <w:p w:rsidR="00936A89" w:rsidRPr="0097601A" w:rsidRDefault="00936A89" w:rsidP="0097601A">
            <w:pPr>
              <w:snapToGrid w:val="0"/>
              <w:contextualSpacing/>
              <w:jc w:val="both"/>
              <w:rPr>
                <w:rFonts w:ascii="Times New Roman" w:eastAsia="Calibri" w:hAnsi="Times New Roman" w:cs="Times New Roman"/>
                <w:lang w:eastAsia="ru-RU"/>
              </w:rPr>
            </w:pPr>
            <w:r w:rsidRPr="0097601A">
              <w:rPr>
                <w:rFonts w:ascii="Times New Roman" w:eastAsia="Calibri" w:hAnsi="Times New Roman" w:cs="Times New Roman"/>
                <w:lang w:eastAsia="ru-RU"/>
              </w:rPr>
              <w:t xml:space="preserve">Анальный тампон эффективно защищает от непроизвольного опорожнения кишечника при легкой и средней степени недержания кала. </w:t>
            </w:r>
          </w:p>
          <w:p w:rsidR="00936A89" w:rsidRPr="0097601A" w:rsidRDefault="00936A89" w:rsidP="0097601A">
            <w:pPr>
              <w:snapToGrid w:val="0"/>
              <w:contextualSpacing/>
              <w:jc w:val="both"/>
              <w:rPr>
                <w:rFonts w:ascii="Times New Roman" w:eastAsia="Calibri" w:hAnsi="Times New Roman" w:cs="Times New Roman"/>
                <w:lang w:eastAsia="ru-RU"/>
              </w:rPr>
            </w:pPr>
            <w:r w:rsidRPr="0097601A">
              <w:rPr>
                <w:rFonts w:ascii="Times New Roman" w:eastAsia="Calibri" w:hAnsi="Times New Roman" w:cs="Times New Roman"/>
                <w:lang w:eastAsia="ru-RU"/>
              </w:rPr>
              <w:t>Анальный тампон покрыт растворяющейся в кишечнике пленкой, имеет форму и размер анальной свечи.</w:t>
            </w:r>
          </w:p>
          <w:p w:rsidR="00936A89" w:rsidRPr="0097601A" w:rsidRDefault="00936A89" w:rsidP="0097601A">
            <w:pPr>
              <w:autoSpaceDE w:val="0"/>
              <w:contextualSpacing/>
              <w:jc w:val="both"/>
              <w:rPr>
                <w:rFonts w:ascii="Times New Roman" w:eastAsia="Calibri" w:hAnsi="Times New Roman" w:cs="Times New Roman"/>
                <w:lang w:eastAsia="ru-RU"/>
              </w:rPr>
            </w:pPr>
            <w:r w:rsidRPr="0097601A">
              <w:rPr>
                <w:rFonts w:ascii="Times New Roman" w:eastAsia="Calibri" w:hAnsi="Times New Roman" w:cs="Times New Roman"/>
                <w:lang w:eastAsia="ru-RU"/>
              </w:rPr>
              <w:t>Размер анальных тампонов: 37 мм (маленький), 45 мм (большой) (в зависимости от потребности Получателя).</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36A89" w:rsidRPr="0097601A" w:rsidRDefault="00936A89" w:rsidP="0097601A">
            <w:pPr>
              <w:jc w:val="center"/>
              <w:rPr>
                <w:rFonts w:ascii="Times New Roman" w:hAnsi="Times New Roman" w:cs="Times New Roman"/>
              </w:rPr>
            </w:pPr>
            <w:r w:rsidRPr="0097601A">
              <w:rPr>
                <w:rFonts w:ascii="Times New Roman" w:hAnsi="Times New Roman" w:cs="Times New Roman"/>
                <w:bCs/>
                <w:color w:val="000000"/>
              </w:rPr>
              <w:t>12974</w:t>
            </w:r>
          </w:p>
        </w:tc>
        <w:tc>
          <w:tcPr>
            <w:tcW w:w="887"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195,35</w:t>
            </w:r>
          </w:p>
        </w:tc>
        <w:tc>
          <w:tcPr>
            <w:tcW w:w="1451"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2 534 470,90</w:t>
            </w:r>
          </w:p>
        </w:tc>
      </w:tr>
      <w:tr w:rsidR="00936A89" w:rsidRPr="0097601A" w:rsidTr="00F55525">
        <w:tc>
          <w:tcPr>
            <w:tcW w:w="2122" w:type="dxa"/>
            <w:tcBorders>
              <w:top w:val="nil"/>
              <w:left w:val="single" w:sz="4" w:space="0" w:color="auto"/>
              <w:bottom w:val="single" w:sz="4" w:space="0" w:color="auto"/>
              <w:right w:val="single" w:sz="4" w:space="0" w:color="auto"/>
            </w:tcBorders>
            <w:shd w:val="clear" w:color="000000" w:fill="FFFFFF"/>
            <w:vAlign w:val="center"/>
          </w:tcPr>
          <w:p w:rsidR="00936A89" w:rsidRPr="0097601A" w:rsidRDefault="00936A89" w:rsidP="0097601A">
            <w:pPr>
              <w:rPr>
                <w:rFonts w:ascii="Times New Roman" w:hAnsi="Times New Roman" w:cs="Times New Roman"/>
              </w:rPr>
            </w:pPr>
            <w:r w:rsidRPr="0097601A">
              <w:rPr>
                <w:rFonts w:ascii="Times New Roman" w:hAnsi="Times New Roman" w:cs="Times New Roman"/>
              </w:rPr>
              <w:t>21-01-32 Пудра (порошок) абсорбирующая в тубе, не менее 25 г</w:t>
            </w:r>
          </w:p>
        </w:tc>
        <w:tc>
          <w:tcPr>
            <w:tcW w:w="5486" w:type="dxa"/>
            <w:tcBorders>
              <w:bottom w:val="single" w:sz="4" w:space="0" w:color="auto"/>
            </w:tcBorders>
            <w:vAlign w:val="center"/>
          </w:tcPr>
          <w:p w:rsidR="00936A89" w:rsidRPr="0097601A" w:rsidRDefault="00936A89" w:rsidP="0097601A">
            <w:pPr>
              <w:pStyle w:val="ConsPlusNormal"/>
              <w:ind w:firstLine="0"/>
              <w:jc w:val="both"/>
              <w:rPr>
                <w:rFonts w:ascii="Times New Roman" w:hAnsi="Times New Roman" w:cs="Times New Roman"/>
                <w:sz w:val="22"/>
                <w:szCs w:val="22"/>
              </w:rPr>
            </w:pPr>
            <w:r w:rsidRPr="0097601A">
              <w:rPr>
                <w:rFonts w:ascii="Times New Roman" w:hAnsi="Times New Roman" w:cs="Times New Roman"/>
                <w:sz w:val="22"/>
                <w:szCs w:val="22"/>
              </w:rPr>
              <w:t>Мелкодисперсные абсорбирующие нестерильные вещества для ухода за раздраженной мокнущей кожей вокруг стомы. Изделие для одноразового использования. (п. 5.6.2 Раздела 5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В тубе 25г.</w:t>
            </w:r>
          </w:p>
        </w:tc>
        <w:tc>
          <w:tcPr>
            <w:tcW w:w="883" w:type="dxa"/>
            <w:tcBorders>
              <w:top w:val="nil"/>
              <w:left w:val="single" w:sz="4" w:space="0" w:color="auto"/>
              <w:bottom w:val="single" w:sz="4" w:space="0" w:color="auto"/>
              <w:right w:val="single" w:sz="4" w:space="0" w:color="auto"/>
            </w:tcBorders>
            <w:shd w:val="clear" w:color="auto" w:fill="auto"/>
            <w:vAlign w:val="center"/>
          </w:tcPr>
          <w:p w:rsidR="00936A89" w:rsidRPr="0097601A" w:rsidRDefault="00936A89" w:rsidP="0097601A">
            <w:pPr>
              <w:jc w:val="center"/>
              <w:rPr>
                <w:rFonts w:ascii="Times New Roman" w:hAnsi="Times New Roman" w:cs="Times New Roman"/>
                <w:bCs/>
                <w:color w:val="000000"/>
              </w:rPr>
            </w:pPr>
            <w:r w:rsidRPr="0097601A">
              <w:rPr>
                <w:rFonts w:ascii="Times New Roman" w:hAnsi="Times New Roman" w:cs="Times New Roman"/>
                <w:bCs/>
                <w:color w:val="000000"/>
              </w:rPr>
              <w:t>6173</w:t>
            </w:r>
          </w:p>
        </w:tc>
        <w:tc>
          <w:tcPr>
            <w:tcW w:w="887"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165,86</w:t>
            </w:r>
          </w:p>
        </w:tc>
        <w:tc>
          <w:tcPr>
            <w:tcW w:w="1451"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1 023 853,78</w:t>
            </w:r>
          </w:p>
        </w:tc>
      </w:tr>
      <w:tr w:rsidR="00936A89" w:rsidRPr="0097601A" w:rsidTr="00F55525">
        <w:tc>
          <w:tcPr>
            <w:tcW w:w="2122" w:type="dxa"/>
            <w:tcBorders>
              <w:top w:val="nil"/>
              <w:left w:val="single" w:sz="4" w:space="0" w:color="auto"/>
              <w:bottom w:val="single" w:sz="4" w:space="0" w:color="auto"/>
              <w:right w:val="single" w:sz="4" w:space="0" w:color="auto"/>
            </w:tcBorders>
            <w:shd w:val="clear" w:color="000000" w:fill="FFFFFF"/>
            <w:vAlign w:val="center"/>
          </w:tcPr>
          <w:p w:rsidR="00936A89" w:rsidRPr="0097601A" w:rsidRDefault="00936A89" w:rsidP="0097601A">
            <w:pPr>
              <w:rPr>
                <w:rFonts w:ascii="Times New Roman" w:hAnsi="Times New Roman" w:cs="Times New Roman"/>
              </w:rPr>
            </w:pPr>
            <w:r w:rsidRPr="0097601A">
              <w:rPr>
                <w:rFonts w:ascii="Times New Roman" w:hAnsi="Times New Roman" w:cs="Times New Roman"/>
              </w:rPr>
              <w:t>21-01-38 Абсорбирующие желирующие пакетики для стомных мешков, 30 шт.</w:t>
            </w:r>
          </w:p>
        </w:tc>
        <w:tc>
          <w:tcPr>
            <w:tcW w:w="5486" w:type="dxa"/>
            <w:tcBorders>
              <w:bottom w:val="single" w:sz="4" w:space="0" w:color="auto"/>
            </w:tcBorders>
            <w:vAlign w:val="center"/>
          </w:tcPr>
          <w:p w:rsidR="00936A89" w:rsidRPr="0097601A" w:rsidRDefault="00936A89" w:rsidP="0097601A">
            <w:pPr>
              <w:pStyle w:val="ConsPlusNormal"/>
              <w:ind w:firstLine="0"/>
              <w:jc w:val="both"/>
              <w:rPr>
                <w:rFonts w:ascii="Times New Roman" w:hAnsi="Times New Roman" w:cs="Times New Roman"/>
                <w:sz w:val="22"/>
                <w:szCs w:val="22"/>
              </w:rPr>
            </w:pPr>
            <w:r w:rsidRPr="0097601A">
              <w:rPr>
                <w:rFonts w:ascii="Times New Roman" w:hAnsi="Times New Roman" w:cs="Times New Roman"/>
                <w:sz w:val="22"/>
                <w:szCs w:val="22"/>
              </w:rPr>
              <w:t>Средство представлено в виде специальных пакетиков-саше для размещения внутри сборного мешка калоприемника. Данное средство преобразовывает содержимое сборного мешка калоприемника в гелеобразную массу, минимизирует неприятные запахи, вздутие мешка, а также уменьшает профиль сборного мешка для более незаметного ношения под одеждой. Количество указано в виде суммы поштучных абсорбирующих желирующих пакетиков.</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36A89" w:rsidRPr="0097601A" w:rsidRDefault="00936A89" w:rsidP="0097601A">
            <w:pPr>
              <w:jc w:val="center"/>
              <w:rPr>
                <w:rFonts w:ascii="Times New Roman" w:hAnsi="Times New Roman" w:cs="Times New Roman"/>
                <w:bCs/>
                <w:color w:val="000000"/>
              </w:rPr>
            </w:pPr>
            <w:r w:rsidRPr="0097601A">
              <w:rPr>
                <w:rFonts w:ascii="Times New Roman" w:hAnsi="Times New Roman" w:cs="Times New Roman"/>
                <w:bCs/>
                <w:color w:val="000000"/>
              </w:rPr>
              <w:t>1542</w:t>
            </w:r>
          </w:p>
        </w:tc>
        <w:tc>
          <w:tcPr>
            <w:tcW w:w="887"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32,86</w:t>
            </w:r>
          </w:p>
        </w:tc>
        <w:tc>
          <w:tcPr>
            <w:tcW w:w="1451"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50 670,12</w:t>
            </w:r>
          </w:p>
        </w:tc>
      </w:tr>
      <w:tr w:rsidR="00936A89" w:rsidRPr="0097601A" w:rsidTr="00F55525">
        <w:tc>
          <w:tcPr>
            <w:tcW w:w="2122" w:type="dxa"/>
            <w:tcBorders>
              <w:top w:val="nil"/>
              <w:left w:val="single" w:sz="4" w:space="0" w:color="auto"/>
              <w:bottom w:val="single" w:sz="4" w:space="0" w:color="auto"/>
              <w:right w:val="single" w:sz="4" w:space="0" w:color="auto"/>
            </w:tcBorders>
            <w:shd w:val="clear" w:color="000000" w:fill="FFFFFF"/>
            <w:vAlign w:val="center"/>
          </w:tcPr>
          <w:p w:rsidR="00936A89" w:rsidRPr="0097601A" w:rsidRDefault="00936A89" w:rsidP="0097601A">
            <w:pPr>
              <w:rPr>
                <w:rFonts w:ascii="Times New Roman" w:hAnsi="Times New Roman" w:cs="Times New Roman"/>
              </w:rPr>
            </w:pPr>
            <w:r w:rsidRPr="0097601A">
              <w:rPr>
                <w:rFonts w:ascii="Times New Roman" w:hAnsi="Times New Roman" w:cs="Times New Roman"/>
              </w:rPr>
              <w:t>21-01-41 Защитные кольца для кожи вокруг стомы</w:t>
            </w:r>
          </w:p>
        </w:tc>
        <w:tc>
          <w:tcPr>
            <w:tcW w:w="5486" w:type="dxa"/>
            <w:tcBorders>
              <w:bottom w:val="single" w:sz="4" w:space="0" w:color="auto"/>
            </w:tcBorders>
            <w:vAlign w:val="center"/>
          </w:tcPr>
          <w:p w:rsidR="00936A89" w:rsidRPr="0097601A" w:rsidRDefault="00936A89" w:rsidP="0097601A">
            <w:pPr>
              <w:pStyle w:val="ConsPlusNormal"/>
              <w:ind w:firstLine="0"/>
              <w:jc w:val="both"/>
              <w:rPr>
                <w:rFonts w:ascii="Times New Roman" w:hAnsi="Times New Roman" w:cs="Times New Roman"/>
                <w:sz w:val="22"/>
                <w:szCs w:val="22"/>
              </w:rPr>
            </w:pPr>
            <w:r w:rsidRPr="0097601A">
              <w:rPr>
                <w:rFonts w:ascii="Times New Roman" w:hAnsi="Times New Roman" w:cs="Times New Roman"/>
                <w:sz w:val="22"/>
                <w:szCs w:val="22"/>
              </w:rPr>
              <w:t>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стоме, позволяет герметично приклеивать калоприемник (уроприемник). Калоприемник (уроприемник) легко наклеивается поверх кольца, кольцо удаляется вместе с пластиной калоприемника (уроприемника).</w:t>
            </w:r>
          </w:p>
        </w:tc>
        <w:tc>
          <w:tcPr>
            <w:tcW w:w="883" w:type="dxa"/>
            <w:tcBorders>
              <w:top w:val="nil"/>
              <w:left w:val="single" w:sz="4" w:space="0" w:color="auto"/>
              <w:bottom w:val="single" w:sz="4" w:space="0" w:color="auto"/>
              <w:right w:val="single" w:sz="4" w:space="0" w:color="auto"/>
            </w:tcBorders>
            <w:shd w:val="clear" w:color="auto" w:fill="auto"/>
            <w:vAlign w:val="center"/>
          </w:tcPr>
          <w:p w:rsidR="00936A89" w:rsidRPr="0097601A" w:rsidRDefault="00936A89" w:rsidP="0097601A">
            <w:pPr>
              <w:jc w:val="center"/>
              <w:rPr>
                <w:rFonts w:ascii="Times New Roman" w:hAnsi="Times New Roman" w:cs="Times New Roman"/>
                <w:bCs/>
                <w:color w:val="000000"/>
              </w:rPr>
            </w:pPr>
            <w:r w:rsidRPr="0097601A">
              <w:rPr>
                <w:rFonts w:ascii="Times New Roman" w:hAnsi="Times New Roman" w:cs="Times New Roman"/>
                <w:bCs/>
                <w:color w:val="000000"/>
              </w:rPr>
              <w:t>2198</w:t>
            </w:r>
          </w:p>
        </w:tc>
        <w:tc>
          <w:tcPr>
            <w:tcW w:w="887"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168,02</w:t>
            </w:r>
          </w:p>
        </w:tc>
        <w:tc>
          <w:tcPr>
            <w:tcW w:w="1451"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369 307,96</w:t>
            </w:r>
          </w:p>
        </w:tc>
      </w:tr>
      <w:tr w:rsidR="00936A89" w:rsidRPr="0097601A" w:rsidTr="00F55525">
        <w:trPr>
          <w:trHeight w:val="692"/>
        </w:trPr>
        <w:tc>
          <w:tcPr>
            <w:tcW w:w="2122" w:type="dxa"/>
            <w:tcBorders>
              <w:top w:val="nil"/>
              <w:left w:val="single" w:sz="4" w:space="0" w:color="auto"/>
              <w:bottom w:val="single" w:sz="4" w:space="0" w:color="auto"/>
              <w:right w:val="single" w:sz="4" w:space="0" w:color="auto"/>
            </w:tcBorders>
            <w:shd w:val="clear" w:color="000000" w:fill="FFFFFF"/>
            <w:vAlign w:val="center"/>
          </w:tcPr>
          <w:p w:rsidR="00936A89" w:rsidRPr="0097601A" w:rsidRDefault="00936A89" w:rsidP="0097601A">
            <w:pPr>
              <w:rPr>
                <w:rFonts w:ascii="Times New Roman" w:hAnsi="Times New Roman" w:cs="Times New Roman"/>
              </w:rPr>
            </w:pPr>
            <w:r w:rsidRPr="0097601A">
              <w:rPr>
                <w:rFonts w:ascii="Times New Roman" w:hAnsi="Times New Roman" w:cs="Times New Roman"/>
              </w:rPr>
              <w:t>21-01-42 Тампон для стомы</w:t>
            </w:r>
          </w:p>
        </w:tc>
        <w:tc>
          <w:tcPr>
            <w:tcW w:w="5486" w:type="dxa"/>
            <w:tcBorders>
              <w:bottom w:val="single" w:sz="4" w:space="0" w:color="auto"/>
            </w:tcBorders>
            <w:vAlign w:val="center"/>
          </w:tcPr>
          <w:p w:rsidR="00936A89" w:rsidRPr="0097601A" w:rsidRDefault="00936A89" w:rsidP="0097601A">
            <w:pPr>
              <w:pStyle w:val="ConsPlusNormal"/>
              <w:jc w:val="both"/>
              <w:rPr>
                <w:rFonts w:ascii="Times New Roman" w:hAnsi="Times New Roman" w:cs="Times New Roman"/>
                <w:sz w:val="22"/>
                <w:szCs w:val="22"/>
              </w:rPr>
            </w:pPr>
            <w:r w:rsidRPr="0097601A">
              <w:rPr>
                <w:rFonts w:ascii="Times New Roman" w:hAnsi="Times New Roman" w:cs="Times New Roman"/>
                <w:sz w:val="22"/>
                <w:szCs w:val="22"/>
              </w:rPr>
              <w:t>Устройства, препятствующие непроизвольному выходу кишечного содержимого из колостомы, устраняющие запах и выпускающие из кишки воздух, в форме свечи из полиуретана, покрытой влагорастворимой пленкой, со встроенной адгезивной пластиной, оснащенной фильтром.</w:t>
            </w:r>
          </w:p>
          <w:p w:rsidR="00936A89" w:rsidRPr="0097601A" w:rsidRDefault="00936A89" w:rsidP="0097601A">
            <w:pPr>
              <w:pStyle w:val="ConsPlusNormal"/>
              <w:ind w:firstLine="0"/>
              <w:jc w:val="both"/>
              <w:rPr>
                <w:rFonts w:ascii="Times New Roman" w:hAnsi="Times New Roman" w:cs="Times New Roman"/>
                <w:sz w:val="22"/>
                <w:szCs w:val="22"/>
              </w:rPr>
            </w:pPr>
            <w:r w:rsidRPr="0097601A">
              <w:rPr>
                <w:rFonts w:ascii="Times New Roman" w:hAnsi="Times New Roman" w:cs="Times New Roman"/>
                <w:sz w:val="22"/>
                <w:szCs w:val="22"/>
              </w:rPr>
              <w:t>Нестерильный однокомпонентный тампон для стомы из полиуретана, покрытый влагорастворимой пленкой, со встроенной плоской гидроколлоидной адгезивной пластиной, служащий для закрытия просвета кишки и предотвращения произвольного выделения стула из кишки, защиты стомы и кожи вокруг стомы во время проведения водных процедур, занятий спортом и после проведения ирригации. Тампон вводится в стому и фиксируется на передней брюшной стенке с помощью адгезивной пластины. Изделие предназначено для ухода за колостомой (сигмостомой). Изделие для одноразового использования.</w:t>
            </w:r>
          </w:p>
        </w:tc>
        <w:tc>
          <w:tcPr>
            <w:tcW w:w="883" w:type="dxa"/>
            <w:tcBorders>
              <w:top w:val="nil"/>
              <w:left w:val="single" w:sz="4" w:space="0" w:color="auto"/>
              <w:bottom w:val="single" w:sz="4" w:space="0" w:color="auto"/>
              <w:right w:val="single" w:sz="4" w:space="0" w:color="auto"/>
            </w:tcBorders>
            <w:shd w:val="clear" w:color="auto" w:fill="auto"/>
            <w:vAlign w:val="center"/>
          </w:tcPr>
          <w:p w:rsidR="00936A89" w:rsidRPr="0097601A" w:rsidRDefault="00936A89" w:rsidP="0097601A">
            <w:pPr>
              <w:jc w:val="center"/>
              <w:rPr>
                <w:rFonts w:ascii="Times New Roman" w:hAnsi="Times New Roman" w:cs="Times New Roman"/>
                <w:bCs/>
                <w:color w:val="000000"/>
              </w:rPr>
            </w:pPr>
            <w:r w:rsidRPr="0097601A">
              <w:rPr>
                <w:rFonts w:ascii="Times New Roman" w:hAnsi="Times New Roman" w:cs="Times New Roman"/>
                <w:bCs/>
                <w:color w:val="000000"/>
              </w:rPr>
              <w:t>1375</w:t>
            </w:r>
          </w:p>
        </w:tc>
        <w:tc>
          <w:tcPr>
            <w:tcW w:w="887"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226,44</w:t>
            </w:r>
          </w:p>
        </w:tc>
        <w:tc>
          <w:tcPr>
            <w:tcW w:w="1451" w:type="dxa"/>
            <w:vAlign w:val="center"/>
          </w:tcPr>
          <w:p w:rsidR="00936A89" w:rsidRPr="0097601A" w:rsidRDefault="00936A89" w:rsidP="0097601A">
            <w:pPr>
              <w:jc w:val="center"/>
              <w:rPr>
                <w:rFonts w:ascii="Times New Roman" w:hAnsi="Times New Roman" w:cs="Times New Roman"/>
                <w:bCs/>
              </w:rPr>
            </w:pPr>
            <w:r w:rsidRPr="0097601A">
              <w:rPr>
                <w:rFonts w:ascii="Times New Roman" w:hAnsi="Times New Roman" w:cs="Times New Roman"/>
                <w:bCs/>
              </w:rPr>
              <w:t>311 355,00</w:t>
            </w:r>
          </w:p>
        </w:tc>
      </w:tr>
      <w:tr w:rsidR="0097601A" w:rsidRPr="0097601A" w:rsidTr="00F55525">
        <w:trPr>
          <w:trHeight w:val="300"/>
        </w:trPr>
        <w:tc>
          <w:tcPr>
            <w:tcW w:w="7608" w:type="dxa"/>
            <w:gridSpan w:val="2"/>
            <w:vAlign w:val="center"/>
          </w:tcPr>
          <w:p w:rsidR="0097601A" w:rsidRPr="00F55525" w:rsidRDefault="0097601A" w:rsidP="0097601A">
            <w:pPr>
              <w:jc w:val="right"/>
              <w:rPr>
                <w:rFonts w:ascii="Times New Roman" w:hAnsi="Times New Roman" w:cs="Times New Roman"/>
                <w:b/>
              </w:rPr>
            </w:pPr>
            <w:r w:rsidRPr="00F55525">
              <w:rPr>
                <w:rFonts w:ascii="Times New Roman" w:hAnsi="Times New Roman" w:cs="Times New Roman"/>
                <w:b/>
              </w:rPr>
              <w:t>Итого</w:t>
            </w:r>
          </w:p>
        </w:tc>
        <w:tc>
          <w:tcPr>
            <w:tcW w:w="883" w:type="dxa"/>
            <w:vAlign w:val="center"/>
          </w:tcPr>
          <w:p w:rsidR="0097601A" w:rsidRPr="00F55525" w:rsidRDefault="0097601A" w:rsidP="00F55525">
            <w:pPr>
              <w:jc w:val="center"/>
              <w:rPr>
                <w:rFonts w:ascii="Times New Roman" w:hAnsi="Times New Roman" w:cs="Times New Roman"/>
                <w:b/>
              </w:rPr>
            </w:pPr>
            <w:r w:rsidRPr="00F55525">
              <w:rPr>
                <w:rFonts w:ascii="Times New Roman" w:hAnsi="Times New Roman" w:cs="Times New Roman"/>
                <w:b/>
                <w:bCs/>
              </w:rPr>
              <w:t>24</w:t>
            </w:r>
            <w:r w:rsidR="00F55525">
              <w:rPr>
                <w:rFonts w:ascii="Times New Roman" w:hAnsi="Times New Roman" w:cs="Times New Roman"/>
                <w:b/>
                <w:bCs/>
              </w:rPr>
              <w:t xml:space="preserve"> </w:t>
            </w:r>
            <w:bookmarkStart w:id="0" w:name="_GoBack"/>
            <w:bookmarkEnd w:id="0"/>
            <w:r w:rsidRPr="00F55525">
              <w:rPr>
                <w:rFonts w:ascii="Times New Roman" w:hAnsi="Times New Roman" w:cs="Times New Roman"/>
                <w:b/>
                <w:bCs/>
              </w:rPr>
              <w:t>262</w:t>
            </w:r>
          </w:p>
        </w:tc>
        <w:tc>
          <w:tcPr>
            <w:tcW w:w="2338" w:type="dxa"/>
            <w:gridSpan w:val="2"/>
            <w:vAlign w:val="center"/>
          </w:tcPr>
          <w:p w:rsidR="0097601A" w:rsidRPr="00F55525" w:rsidRDefault="0097601A" w:rsidP="0097601A">
            <w:pPr>
              <w:jc w:val="center"/>
              <w:rPr>
                <w:rFonts w:ascii="Times New Roman" w:hAnsi="Times New Roman" w:cs="Times New Roman"/>
                <w:b/>
              </w:rPr>
            </w:pPr>
            <w:r w:rsidRPr="00F55525">
              <w:rPr>
                <w:rFonts w:ascii="Times New Roman" w:hAnsi="Times New Roman" w:cs="Times New Roman"/>
                <w:b/>
                <w:lang w:val="en-US"/>
              </w:rPr>
              <w:t>4 289 657</w:t>
            </w:r>
            <w:r w:rsidRPr="00F55525">
              <w:rPr>
                <w:rFonts w:ascii="Times New Roman" w:hAnsi="Times New Roman" w:cs="Times New Roman"/>
                <w:b/>
              </w:rPr>
              <w:t>,76</w:t>
            </w:r>
          </w:p>
        </w:tc>
      </w:tr>
    </w:tbl>
    <w:p w:rsidR="00673F0E" w:rsidRPr="0097601A" w:rsidRDefault="00673F0E" w:rsidP="0097601A">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673F0E" w:rsidRDefault="00673F0E" w:rsidP="0097601A">
      <w:pPr>
        <w:keepNext/>
        <w:autoSpaceDN w:val="0"/>
        <w:spacing w:after="0" w:line="240" w:lineRule="auto"/>
        <w:jc w:val="both"/>
        <w:textAlignment w:val="baseline"/>
        <w:rPr>
          <w:rFonts w:ascii="Times New Roman" w:eastAsia="Times New Roman" w:hAnsi="Times New Roman" w:cs="Times New Roman"/>
          <w:color w:val="000000"/>
          <w:kern w:val="3"/>
          <w:sz w:val="16"/>
          <w:szCs w:val="16"/>
          <w:lang w:eastAsia="ru-RU"/>
        </w:rPr>
      </w:pPr>
    </w:p>
    <w:p w:rsidR="0097601A" w:rsidRDefault="0097601A" w:rsidP="0097601A">
      <w:pPr>
        <w:suppressAutoHyphens/>
        <w:spacing w:after="0" w:line="240" w:lineRule="auto"/>
        <w:jc w:val="both"/>
        <w:rPr>
          <w:rFonts w:ascii="Times New Roman" w:eastAsia="Calibri" w:hAnsi="Times New Roman" w:cs="Times New Roman"/>
          <w:sz w:val="24"/>
          <w:szCs w:val="24"/>
        </w:rPr>
      </w:pPr>
    </w:p>
    <w:p w:rsidR="0097601A" w:rsidRPr="0097601A" w:rsidRDefault="002C6D8F" w:rsidP="0097601A">
      <w:pPr>
        <w:suppressAutoHyphens/>
        <w:spacing w:after="0" w:line="240" w:lineRule="auto"/>
        <w:ind w:firstLine="567"/>
        <w:jc w:val="center"/>
        <w:rPr>
          <w:rFonts w:ascii="Times New Roman" w:eastAsia="Calibri" w:hAnsi="Times New Roman" w:cs="Times New Roman"/>
          <w:b/>
          <w:sz w:val="24"/>
          <w:szCs w:val="24"/>
        </w:rPr>
      </w:pPr>
      <w:r w:rsidRPr="0097601A">
        <w:rPr>
          <w:rFonts w:ascii="Times New Roman" w:eastAsia="Calibri" w:hAnsi="Times New Roman" w:cs="Times New Roman"/>
          <w:b/>
          <w:sz w:val="24"/>
          <w:szCs w:val="24"/>
        </w:rPr>
        <w:lastRenderedPageBreak/>
        <w:t>Требования к качеству, и функциональным характеристикам:</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p>
    <w:p w:rsidR="002C6D8F" w:rsidRPr="0097601A" w:rsidRDefault="002C6D8F" w:rsidP="0097601A">
      <w:pPr>
        <w:suppressAutoHyphens/>
        <w:spacing w:after="0" w:line="240" w:lineRule="auto"/>
        <w:ind w:firstLine="567"/>
        <w:jc w:val="center"/>
        <w:rPr>
          <w:rFonts w:ascii="Times New Roman" w:eastAsia="Calibri" w:hAnsi="Times New Roman" w:cs="Times New Roman"/>
          <w:b/>
          <w:sz w:val="24"/>
          <w:szCs w:val="24"/>
        </w:rPr>
      </w:pPr>
      <w:r w:rsidRPr="0097601A">
        <w:rPr>
          <w:rFonts w:ascii="Times New Roman" w:eastAsia="Calibri" w:hAnsi="Times New Roman" w:cs="Times New Roman"/>
          <w:b/>
          <w:sz w:val="24"/>
          <w:szCs w:val="24"/>
        </w:rPr>
        <w:t>Требования к качеству Товара и безопасности товара: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Товар соответствует требованиям стандартов:</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ГОСТ Р 58235-2018 «Специальные средства при нарушении функции выделения. Термины и определения. Классификация»</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p>
    <w:p w:rsidR="002C6D8F" w:rsidRPr="0097601A" w:rsidRDefault="002C6D8F" w:rsidP="0097601A">
      <w:pPr>
        <w:suppressAutoHyphens/>
        <w:spacing w:after="0" w:line="240" w:lineRule="auto"/>
        <w:ind w:firstLine="567"/>
        <w:jc w:val="center"/>
        <w:rPr>
          <w:rFonts w:ascii="Times New Roman" w:eastAsia="Calibri" w:hAnsi="Times New Roman" w:cs="Times New Roman"/>
          <w:b/>
          <w:sz w:val="24"/>
          <w:szCs w:val="24"/>
        </w:rPr>
      </w:pPr>
      <w:r w:rsidRPr="0097601A">
        <w:rPr>
          <w:rFonts w:ascii="Times New Roman" w:eastAsia="Calibri" w:hAnsi="Times New Roman" w:cs="Times New Roman"/>
          <w:b/>
          <w:sz w:val="24"/>
          <w:szCs w:val="24"/>
        </w:rPr>
        <w:t>Требования к месту, условиям и срокам (периодам) поставки Товара: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Поставщик обязан:</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обеспечить ведение аудиозаписи телефонных разговоров с инвалидами по вопросам получения технического средства реабилитации;</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предоставлять по запросу Заказчика в рамках подтверждения исполнения Контракта журнал телефонных звонков;</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lastRenderedPageBreak/>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p>
    <w:p w:rsidR="002C6D8F" w:rsidRPr="0097601A" w:rsidRDefault="002C6D8F" w:rsidP="0097601A">
      <w:pPr>
        <w:suppressAutoHyphens/>
        <w:spacing w:after="0" w:line="240" w:lineRule="auto"/>
        <w:ind w:firstLine="567"/>
        <w:jc w:val="center"/>
        <w:rPr>
          <w:rFonts w:ascii="Times New Roman" w:eastAsia="Calibri" w:hAnsi="Times New Roman" w:cs="Times New Roman"/>
          <w:b/>
          <w:sz w:val="24"/>
          <w:szCs w:val="24"/>
        </w:rPr>
      </w:pPr>
      <w:r w:rsidRPr="0097601A">
        <w:rPr>
          <w:rFonts w:ascii="Times New Roman" w:eastAsia="Calibri" w:hAnsi="Times New Roman" w:cs="Times New Roman"/>
          <w:b/>
          <w:sz w:val="24"/>
          <w:szCs w:val="24"/>
        </w:rPr>
        <w:t>Требования к сроку и объему предоставления гарантий качества Товара: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Срок годности товара, установленный производителем, на момент выдачи Товара инвалидам должен составлять не менее 12 месяцев.</w:t>
      </w:r>
    </w:p>
    <w:p w:rsidR="002C6D8F" w:rsidRDefault="002C6D8F" w:rsidP="0097601A">
      <w:pPr>
        <w:suppressAutoHyphens/>
        <w:spacing w:after="0" w:line="240" w:lineRule="auto"/>
        <w:ind w:firstLine="567"/>
        <w:jc w:val="both"/>
        <w:rPr>
          <w:rFonts w:ascii="Times New Roman" w:eastAsia="Calibri" w:hAnsi="Times New Roman" w:cs="Times New Roman"/>
          <w:sz w:val="24"/>
          <w:szCs w:val="24"/>
        </w:rPr>
      </w:pPr>
    </w:p>
    <w:p w:rsidR="0097601A" w:rsidRPr="0097601A" w:rsidRDefault="0097601A" w:rsidP="0097601A">
      <w:pPr>
        <w:suppressAutoHyphens/>
        <w:spacing w:after="0" w:line="240" w:lineRule="auto"/>
        <w:ind w:firstLine="567"/>
        <w:jc w:val="center"/>
        <w:rPr>
          <w:rFonts w:ascii="Times New Roman" w:eastAsia="Calibri" w:hAnsi="Times New Roman" w:cs="Times New Roman"/>
          <w:b/>
          <w:sz w:val="24"/>
          <w:szCs w:val="24"/>
        </w:rPr>
      </w:pPr>
      <w:r w:rsidRPr="0097601A">
        <w:rPr>
          <w:rFonts w:ascii="Times New Roman" w:eastAsia="Calibri" w:hAnsi="Times New Roman" w:cs="Times New Roman"/>
          <w:b/>
          <w:sz w:val="24"/>
          <w:szCs w:val="24"/>
        </w:rPr>
        <w:t>Место поставки товара:</w:t>
      </w:r>
    </w:p>
    <w:p w:rsidR="00F55525" w:rsidRDefault="0097601A"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По месту жи</w:t>
      </w:r>
      <w:r w:rsidR="00F55525">
        <w:rPr>
          <w:rFonts w:ascii="Times New Roman" w:eastAsia="Calibri" w:hAnsi="Times New Roman" w:cs="Times New Roman"/>
          <w:sz w:val="24"/>
          <w:szCs w:val="24"/>
        </w:rPr>
        <w:t xml:space="preserve">тельства (Получателя) инвалида. </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Муниципальные образования Приморского края</w:t>
      </w:r>
      <w:r w:rsidR="0097601A">
        <w:rPr>
          <w:rFonts w:ascii="Times New Roman" w:eastAsia="Calibri" w:hAnsi="Times New Roman" w:cs="Times New Roman"/>
          <w:sz w:val="24"/>
          <w:szCs w:val="24"/>
        </w:rPr>
        <w:t xml:space="preserve">: </w:t>
      </w:r>
      <w:r w:rsidRPr="0097601A">
        <w:rPr>
          <w:rFonts w:ascii="Times New Roman" w:eastAsia="Calibri" w:hAnsi="Times New Roman" w:cs="Times New Roman"/>
          <w:sz w:val="24"/>
          <w:szCs w:val="24"/>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97601A" w:rsidRDefault="0097601A" w:rsidP="0097601A">
      <w:pPr>
        <w:suppressAutoHyphens/>
        <w:spacing w:after="0" w:line="240" w:lineRule="auto"/>
        <w:ind w:firstLine="567"/>
        <w:jc w:val="both"/>
        <w:rPr>
          <w:rFonts w:ascii="Times New Roman" w:eastAsia="Calibri" w:hAnsi="Times New Roman" w:cs="Times New Roman"/>
          <w:sz w:val="24"/>
          <w:szCs w:val="24"/>
        </w:rPr>
      </w:pPr>
    </w:p>
    <w:p w:rsidR="0097601A" w:rsidRPr="0097601A" w:rsidRDefault="0097601A" w:rsidP="0097601A">
      <w:pPr>
        <w:suppressAutoHyphens/>
        <w:spacing w:after="0" w:line="240" w:lineRule="auto"/>
        <w:ind w:firstLine="567"/>
        <w:jc w:val="center"/>
        <w:rPr>
          <w:rFonts w:ascii="Times New Roman" w:eastAsia="Calibri" w:hAnsi="Times New Roman" w:cs="Times New Roman"/>
          <w:b/>
          <w:sz w:val="24"/>
          <w:szCs w:val="24"/>
        </w:rPr>
      </w:pPr>
      <w:r w:rsidRPr="0097601A">
        <w:rPr>
          <w:rFonts w:ascii="Times New Roman" w:eastAsia="Calibri" w:hAnsi="Times New Roman" w:cs="Times New Roman"/>
          <w:b/>
          <w:sz w:val="24"/>
          <w:szCs w:val="24"/>
        </w:rPr>
        <w:t>Срок поставки товара:</w:t>
      </w:r>
    </w:p>
    <w:p w:rsidR="002C6D8F" w:rsidRP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Поставка Товара получателям должна быть осуществлена в срок: по каждому получателю до 31.08.2023 года – 100%, в соответствии с предоставленными реестрами получателей.</w:t>
      </w:r>
    </w:p>
    <w:p w:rsidR="0097601A" w:rsidRDefault="002C6D8F" w:rsidP="0097601A">
      <w:pPr>
        <w:suppressAutoHyphens/>
        <w:spacing w:after="0" w:line="240" w:lineRule="auto"/>
        <w:ind w:firstLine="567"/>
        <w:jc w:val="both"/>
        <w:rPr>
          <w:rFonts w:ascii="Times New Roman" w:eastAsia="Calibri" w:hAnsi="Times New Roman" w:cs="Times New Roman"/>
          <w:sz w:val="24"/>
          <w:szCs w:val="24"/>
        </w:rPr>
      </w:pPr>
      <w:r w:rsidRPr="0097601A">
        <w:rPr>
          <w:rFonts w:ascii="Times New Roman" w:eastAsia="Calibri" w:hAnsi="Times New Roman" w:cs="Times New Roman"/>
          <w:sz w:val="24"/>
          <w:szCs w:val="24"/>
        </w:rPr>
        <w:t>Срок действия государственного контракта до 29.09.2023 года.</w:t>
      </w:r>
    </w:p>
    <w:sectPr w:rsidR="0097601A" w:rsidSect="0097601A">
      <w:pgSz w:w="11906" w:h="16838"/>
      <w:pgMar w:top="709"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16" w:rsidRDefault="00A67716" w:rsidP="00673F0E">
      <w:pPr>
        <w:spacing w:after="0" w:line="240" w:lineRule="auto"/>
      </w:pPr>
      <w:r>
        <w:separator/>
      </w:r>
    </w:p>
  </w:endnote>
  <w:endnote w:type="continuationSeparator" w:id="0">
    <w:p w:rsidR="00A67716" w:rsidRDefault="00A67716"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16" w:rsidRDefault="00A67716" w:rsidP="00673F0E">
      <w:pPr>
        <w:spacing w:after="0" w:line="240" w:lineRule="auto"/>
      </w:pPr>
      <w:r>
        <w:separator/>
      </w:r>
    </w:p>
  </w:footnote>
  <w:footnote w:type="continuationSeparator" w:id="0">
    <w:p w:rsidR="00A67716" w:rsidRDefault="00A67716"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6116F"/>
    <w:rsid w:val="000E1506"/>
    <w:rsid w:val="002B72D2"/>
    <w:rsid w:val="002C6D8F"/>
    <w:rsid w:val="0033742A"/>
    <w:rsid w:val="005043C2"/>
    <w:rsid w:val="00673F0E"/>
    <w:rsid w:val="006B4946"/>
    <w:rsid w:val="006E703F"/>
    <w:rsid w:val="00936A89"/>
    <w:rsid w:val="0097601A"/>
    <w:rsid w:val="009A3DEB"/>
    <w:rsid w:val="00A67716"/>
    <w:rsid w:val="00B315AA"/>
    <w:rsid w:val="00B64A8B"/>
    <w:rsid w:val="00B80B6D"/>
    <w:rsid w:val="00BB20C4"/>
    <w:rsid w:val="00C51EC6"/>
    <w:rsid w:val="00C63974"/>
    <w:rsid w:val="00CC1BB6"/>
    <w:rsid w:val="00F5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06116F"/>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Каминский Алексей Витальевич</cp:lastModifiedBy>
  <cp:revision>12</cp:revision>
  <dcterms:created xsi:type="dcterms:W3CDTF">2022-11-24T03:54:00Z</dcterms:created>
  <dcterms:modified xsi:type="dcterms:W3CDTF">2022-11-30T22:57:00Z</dcterms:modified>
</cp:coreProperties>
</file>