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50" w:rsidRPr="00831062" w:rsidRDefault="00BD7F50" w:rsidP="00BD7F50">
      <w:pPr>
        <w:pStyle w:val="1"/>
        <w:spacing w:before="0" w:after="0"/>
        <w:rPr>
          <w:sz w:val="24"/>
          <w:szCs w:val="22"/>
        </w:rPr>
      </w:pPr>
      <w:r w:rsidRPr="00831062">
        <w:rPr>
          <w:sz w:val="24"/>
          <w:szCs w:val="22"/>
        </w:rPr>
        <w:t>ТЕХНИЧЕСКОЕ ЗАДАНИЕ</w:t>
      </w:r>
    </w:p>
    <w:p w:rsidR="00BD7F50" w:rsidRPr="00831062" w:rsidRDefault="00BD7F50" w:rsidP="00BD7F50">
      <w:pPr>
        <w:keepLines/>
        <w:widowControl w:val="0"/>
        <w:suppressLineNumbers/>
        <w:autoSpaceDE w:val="0"/>
        <w:jc w:val="center"/>
        <w:rPr>
          <w:b/>
        </w:rPr>
      </w:pPr>
      <w:r w:rsidRPr="00831062">
        <w:rPr>
          <w:b/>
          <w:lang w:eastAsia="ar-SA"/>
        </w:rPr>
        <w:t xml:space="preserve">на </w:t>
      </w:r>
      <w:r w:rsidRPr="00831062">
        <w:rPr>
          <w:rFonts w:eastAsia="Calibri"/>
          <w:b/>
          <w:iCs/>
          <w:lang w:eastAsia="ar-SA"/>
        </w:rPr>
        <w:t xml:space="preserve">выполнение работ по изготовлению протезов нижних конечностей </w:t>
      </w:r>
      <w:r w:rsidRPr="00831062">
        <w:rPr>
          <w:b/>
        </w:rPr>
        <w:t>в 2024 году</w:t>
      </w:r>
    </w:p>
    <w:p w:rsidR="00BD7F50" w:rsidRPr="00831062" w:rsidRDefault="00BD7F50" w:rsidP="00BD7F50">
      <w:pPr>
        <w:pStyle w:val="a5"/>
        <w:keepLines/>
        <w:widowControl w:val="0"/>
        <w:numPr>
          <w:ilvl w:val="0"/>
          <w:numId w:val="1"/>
        </w:numPr>
        <w:suppressLineNumbers/>
        <w:autoSpaceDE w:val="0"/>
        <w:contextualSpacing/>
        <w:jc w:val="both"/>
        <w:rPr>
          <w:b/>
        </w:rPr>
      </w:pPr>
      <w:r w:rsidRPr="00831062">
        <w:rPr>
          <w:b/>
        </w:rPr>
        <w:t>Предмет Контракта</w:t>
      </w:r>
    </w:p>
    <w:p w:rsidR="00BD7F50" w:rsidRPr="00831062" w:rsidRDefault="00BD7F50" w:rsidP="00BD7F50">
      <w:pPr>
        <w:widowControl w:val="0"/>
        <w:tabs>
          <w:tab w:val="left" w:pos="1068"/>
        </w:tabs>
        <w:autoSpaceDE w:val="0"/>
        <w:autoSpaceDN w:val="0"/>
        <w:adjustRightInd w:val="0"/>
        <w:spacing w:after="0"/>
        <w:ind w:firstLine="709"/>
      </w:pPr>
      <w:r w:rsidRPr="00831062">
        <w:t>Выполнение работ по изготовлению протезов нижних конечностей в 2024 году.</w:t>
      </w:r>
    </w:p>
    <w:p w:rsidR="00BD7F50" w:rsidRPr="00831062" w:rsidRDefault="00BD7F50" w:rsidP="00BD7F50">
      <w:pPr>
        <w:widowControl w:val="0"/>
        <w:tabs>
          <w:tab w:val="left" w:pos="1068"/>
        </w:tabs>
        <w:autoSpaceDE w:val="0"/>
        <w:autoSpaceDN w:val="0"/>
        <w:adjustRightInd w:val="0"/>
        <w:spacing w:after="0"/>
        <w:ind w:firstLine="709"/>
      </w:pPr>
      <w:r w:rsidRPr="00831062">
        <w:t>Объем выполняемых работ — 46 шт.</w:t>
      </w:r>
    </w:p>
    <w:p w:rsidR="00BD7F50" w:rsidRPr="00831062" w:rsidRDefault="00BD7F50" w:rsidP="00BD7F50">
      <w:pPr>
        <w:pStyle w:val="a5"/>
        <w:numPr>
          <w:ilvl w:val="0"/>
          <w:numId w:val="1"/>
        </w:numPr>
        <w:shd w:val="clear" w:color="auto" w:fill="FFFFFF"/>
        <w:contextualSpacing/>
        <w:jc w:val="both"/>
        <w:rPr>
          <w:b/>
        </w:rPr>
      </w:pPr>
      <w:r w:rsidRPr="00831062">
        <w:rPr>
          <w:b/>
        </w:rPr>
        <w:t>Требования к качеству выполняемых работ</w:t>
      </w:r>
    </w:p>
    <w:p w:rsidR="00BD7F50" w:rsidRDefault="00BD7F50" w:rsidP="00BD7F50">
      <w:pPr>
        <w:widowControl w:val="0"/>
        <w:tabs>
          <w:tab w:val="left" w:pos="1068"/>
        </w:tabs>
        <w:autoSpaceDE w:val="0"/>
        <w:autoSpaceDN w:val="0"/>
        <w:adjustRightInd w:val="0"/>
        <w:spacing w:after="0"/>
        <w:ind w:firstLine="709"/>
      </w:pPr>
      <w:r w:rsidRPr="00831062">
        <w:t>В состав работ по изготовлению протезов нижних конечностей входит: проведение индивидуального обмера по месту нахождения Исполнителя, изготовление протезов нижних конечностей по индивидуальным обмерам, их примерка и передача получателям по месту нахождения Исполнителя.</w:t>
      </w:r>
    </w:p>
    <w:p w:rsidR="00BD7F50" w:rsidRPr="00886BEA" w:rsidRDefault="00BD7F50" w:rsidP="00BD7F50">
      <w:pPr>
        <w:widowControl w:val="0"/>
        <w:tabs>
          <w:tab w:val="left" w:pos="1068"/>
        </w:tabs>
        <w:autoSpaceDE w:val="0"/>
        <w:autoSpaceDN w:val="0"/>
        <w:adjustRightInd w:val="0"/>
        <w:spacing w:after="0"/>
        <w:ind w:firstLine="709"/>
        <w:rPr>
          <w:b/>
          <w:i/>
        </w:rPr>
      </w:pPr>
      <w:r w:rsidRPr="00886BEA">
        <w:rPr>
          <w:b/>
          <w:i/>
        </w:rPr>
        <w:t>Протезы нижних конечностей:</w:t>
      </w:r>
    </w:p>
    <w:p w:rsidR="00BD7F50" w:rsidRPr="00A46578" w:rsidRDefault="00BD7F50" w:rsidP="00BD7F50">
      <w:pPr>
        <w:widowControl w:val="0"/>
        <w:tabs>
          <w:tab w:val="left" w:pos="1068"/>
        </w:tabs>
        <w:autoSpaceDE w:val="0"/>
        <w:autoSpaceDN w:val="0"/>
        <w:adjustRightInd w:val="0"/>
        <w:spacing w:after="0"/>
        <w:ind w:firstLine="709"/>
      </w:pPr>
      <w:r w:rsidRPr="00A46578">
        <w:t>Протез</w:t>
      </w:r>
      <w:r>
        <w:t>ы</w:t>
      </w:r>
      <w:r w:rsidRPr="00A46578">
        <w:t xml:space="preserve"> долж</w:t>
      </w:r>
      <w:r>
        <w:t>ны</w:t>
      </w:r>
      <w:r w:rsidRPr="00A46578">
        <w:t xml:space="preserve"> быть изготовлен</w:t>
      </w:r>
      <w:r>
        <w:t>ы</w:t>
      </w:r>
      <w:r w:rsidRPr="00A46578">
        <w:t xml:space="preserve"> в соответствии с действующими стандартами, не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 эксплуатации.</w:t>
      </w:r>
    </w:p>
    <w:p w:rsidR="00BD7F50" w:rsidRPr="00A46578" w:rsidRDefault="00BD7F50" w:rsidP="00BD7F50">
      <w:pPr>
        <w:widowControl w:val="0"/>
        <w:tabs>
          <w:tab w:val="left" w:pos="1068"/>
        </w:tabs>
        <w:autoSpaceDE w:val="0"/>
        <w:autoSpaceDN w:val="0"/>
        <w:adjustRightInd w:val="0"/>
        <w:spacing w:after="0"/>
        <w:ind w:firstLine="709"/>
      </w:pPr>
      <w:r w:rsidRPr="00A46578">
        <w:t>Работы по проведению комплекса медицинских, технических и организационных мероприятий должны быть направлены на частичное восстановление опорно-двигательных функций и (или) устранение косметических дефектов нижн</w:t>
      </w:r>
      <w:r>
        <w:t>их конечностей</w:t>
      </w:r>
      <w:r w:rsidRPr="00A46578">
        <w:t xml:space="preserve"> пациент</w:t>
      </w:r>
      <w:r>
        <w:t>ов</w:t>
      </w:r>
      <w:r w:rsidRPr="00A46578">
        <w:t xml:space="preserve"> с помощью протез</w:t>
      </w:r>
      <w:r>
        <w:t>ов</w:t>
      </w:r>
      <w:r w:rsidRPr="00A46578">
        <w:t xml:space="preserve"> конечност</w:t>
      </w:r>
      <w:r>
        <w:t>ей</w:t>
      </w:r>
      <w:r w:rsidRPr="00A46578">
        <w:t xml:space="preserve">. </w:t>
      </w:r>
    </w:p>
    <w:p w:rsidR="00BD7F50" w:rsidRPr="00A46578" w:rsidRDefault="00BD7F50" w:rsidP="00BD7F50">
      <w:pPr>
        <w:widowControl w:val="0"/>
        <w:tabs>
          <w:tab w:val="left" w:pos="1068"/>
        </w:tabs>
        <w:autoSpaceDE w:val="0"/>
        <w:autoSpaceDN w:val="0"/>
        <w:adjustRightInd w:val="0"/>
        <w:spacing w:after="0"/>
        <w:ind w:firstLine="709"/>
      </w:pPr>
      <w:r w:rsidRPr="00A46578">
        <w:t>Приемн</w:t>
      </w:r>
      <w:r>
        <w:t>ые</w:t>
      </w:r>
      <w:r w:rsidRPr="00A46578">
        <w:t xml:space="preserve"> гильз</w:t>
      </w:r>
      <w:r>
        <w:t>ы</w:t>
      </w:r>
      <w:r w:rsidRPr="00A46578">
        <w:t xml:space="preserve"> протез</w:t>
      </w:r>
      <w:r>
        <w:t>ов</w:t>
      </w:r>
      <w:r w:rsidRPr="00A46578">
        <w:t xml:space="preserve"> изготавлива</w:t>
      </w:r>
      <w:r>
        <w:t>ю</w:t>
      </w:r>
      <w:r w:rsidRPr="00A46578">
        <w:t>тся по индивидуальн</w:t>
      </w:r>
      <w:r>
        <w:t>ым</w:t>
      </w:r>
      <w:r w:rsidRPr="00A46578">
        <w:t xml:space="preserve"> параметр</w:t>
      </w:r>
      <w:r>
        <w:t>ам</w:t>
      </w:r>
      <w:r w:rsidRPr="00A46578">
        <w:t xml:space="preserve"> </w:t>
      </w:r>
      <w:r>
        <w:t>получателей</w:t>
      </w:r>
      <w:r w:rsidRPr="00A46578">
        <w:t xml:space="preserve"> и предназнача</w:t>
      </w:r>
      <w:r>
        <w:t>ю</w:t>
      </w:r>
      <w:r w:rsidRPr="00A46578">
        <w:t>тся для размещения в нем культ</w:t>
      </w:r>
      <w:r>
        <w:t>ей</w:t>
      </w:r>
      <w:r w:rsidRPr="00A46578">
        <w:t xml:space="preserve"> или пораженн</w:t>
      </w:r>
      <w:r>
        <w:t>ых</w:t>
      </w:r>
      <w:r w:rsidRPr="00A46578">
        <w:t xml:space="preserve"> конечност</w:t>
      </w:r>
      <w:r>
        <w:t>ей</w:t>
      </w:r>
      <w:r w:rsidRPr="00A46578">
        <w:t>, обеспечивая взаимодействие человека с протезом конечности.</w:t>
      </w:r>
    </w:p>
    <w:p w:rsidR="00BD7F50" w:rsidRPr="00A46578" w:rsidRDefault="00BD7F50" w:rsidP="00BD7F50">
      <w:pPr>
        <w:pStyle w:val="a5"/>
        <w:keepLines/>
        <w:widowControl w:val="0"/>
        <w:numPr>
          <w:ilvl w:val="0"/>
          <w:numId w:val="1"/>
        </w:numPr>
        <w:suppressLineNumbers/>
        <w:autoSpaceDE w:val="0"/>
        <w:contextualSpacing/>
        <w:jc w:val="both"/>
        <w:rPr>
          <w:b/>
        </w:rPr>
      </w:pPr>
      <w:r w:rsidRPr="00A46578">
        <w:rPr>
          <w:b/>
        </w:rPr>
        <w:t xml:space="preserve">Требования к размерам, упаковке и хранению протезов </w:t>
      </w:r>
    </w:p>
    <w:p w:rsidR="00BD7F50" w:rsidRPr="00A46578" w:rsidRDefault="00BD7F50" w:rsidP="00BD7F50">
      <w:pPr>
        <w:widowControl w:val="0"/>
        <w:tabs>
          <w:tab w:val="left" w:pos="1068"/>
        </w:tabs>
        <w:autoSpaceDE w:val="0"/>
        <w:autoSpaceDN w:val="0"/>
        <w:adjustRightInd w:val="0"/>
        <w:spacing w:after="0"/>
        <w:ind w:firstLine="709"/>
      </w:pPr>
      <w:r w:rsidRPr="00A46578">
        <w:t>Упаковка протез</w:t>
      </w:r>
      <w:r>
        <w:t>ов</w:t>
      </w:r>
      <w:r w:rsidRPr="00A46578">
        <w:t xml:space="preserve"> нижн</w:t>
      </w:r>
      <w:r>
        <w:t>их</w:t>
      </w:r>
      <w:r w:rsidRPr="00A46578">
        <w:t xml:space="preserve"> конечност</w:t>
      </w:r>
      <w:r>
        <w:t>ей</w:t>
      </w:r>
      <w:r w:rsidRPr="00A46578">
        <w:t xml:space="preserve"> должна обеспечивать защиту от повреждений, порчи (изнашивания) или загрязнения во время хранения и транспортировки.</w:t>
      </w:r>
    </w:p>
    <w:p w:rsidR="00BD7F50" w:rsidRPr="00886BEA" w:rsidRDefault="00BD7F50" w:rsidP="00BD7F50">
      <w:pPr>
        <w:pStyle w:val="a5"/>
        <w:keepLines/>
        <w:widowControl w:val="0"/>
        <w:suppressLineNumbers/>
        <w:autoSpaceDE w:val="0"/>
        <w:ind w:left="720"/>
        <w:contextualSpacing/>
        <w:rPr>
          <w:b/>
          <w:i/>
          <w:lang w:eastAsia="ar-SA"/>
        </w:rPr>
      </w:pPr>
      <w:r w:rsidRPr="00886BEA">
        <w:rPr>
          <w:b/>
          <w:i/>
          <w:lang w:eastAsia="ar-SA"/>
        </w:rPr>
        <w:t>Протезы нижних конечностей:</w:t>
      </w:r>
    </w:p>
    <w:p w:rsidR="00BD7F50" w:rsidRPr="00A46578" w:rsidRDefault="00BD7F50" w:rsidP="00BD7F50">
      <w:pPr>
        <w:widowControl w:val="0"/>
        <w:tabs>
          <w:tab w:val="left" w:pos="1068"/>
        </w:tabs>
        <w:autoSpaceDE w:val="0"/>
        <w:autoSpaceDN w:val="0"/>
        <w:adjustRightInd w:val="0"/>
        <w:spacing w:after="0"/>
        <w:ind w:firstLine="709"/>
      </w:pPr>
      <w:r w:rsidRPr="00886BEA">
        <w:t xml:space="preserve">Маркировка протезов, а также их упаковка, хранение и транспортировка должна осуществляться с соблюдением требований ГОСТ Р ИСО 22523-2007 «Протезы конечностей и </w:t>
      </w:r>
      <w:proofErr w:type="spellStart"/>
      <w:r w:rsidRPr="00886BEA">
        <w:t>ортезы</w:t>
      </w:r>
      <w:proofErr w:type="spellEnd"/>
      <w:r w:rsidRPr="00886BEA">
        <w:t xml:space="preserve"> наружные. Требования и методы испытаний», ГОСТ 30324.0-95 (МЭК 601-1-88) / ГОСТ Р 50267.0-92(МЭК 601-1-88) «Изделия медицинские электрические. Часть 1.Общие требования безопасности».</w:t>
      </w:r>
    </w:p>
    <w:p w:rsidR="00BD7F50" w:rsidRPr="00A46578" w:rsidRDefault="00BD7F50" w:rsidP="00BD7F50">
      <w:pPr>
        <w:pStyle w:val="a5"/>
        <w:numPr>
          <w:ilvl w:val="0"/>
          <w:numId w:val="1"/>
        </w:numPr>
        <w:contextualSpacing/>
        <w:jc w:val="both"/>
        <w:rPr>
          <w:b/>
        </w:rPr>
      </w:pPr>
      <w:r w:rsidRPr="00A46578">
        <w:rPr>
          <w:b/>
        </w:rPr>
        <w:t>Требования к сроку и (или) объему предоставленных гарантий качества выполняемых работ</w:t>
      </w:r>
    </w:p>
    <w:p w:rsidR="00BD7F50" w:rsidRPr="00A46578" w:rsidRDefault="00BD7F50" w:rsidP="00BD7F50">
      <w:pPr>
        <w:suppressAutoHyphens/>
        <w:ind w:firstLine="709"/>
        <w:rPr>
          <w:lang w:eastAsia="ar-SA"/>
        </w:rPr>
      </w:pPr>
      <w:r w:rsidRPr="00A46578">
        <w:rPr>
          <w:lang w:eastAsia="ar-SA"/>
        </w:rPr>
        <w:t>При передаче изготовленн</w:t>
      </w:r>
      <w:r>
        <w:rPr>
          <w:lang w:eastAsia="ar-SA"/>
        </w:rPr>
        <w:t>ых</w:t>
      </w:r>
      <w:r w:rsidRPr="00A46578">
        <w:rPr>
          <w:rFonts w:eastAsia="Calibri"/>
          <w:iCs/>
          <w:lang w:eastAsia="ar-SA"/>
        </w:rPr>
        <w:t xml:space="preserve"> протез</w:t>
      </w:r>
      <w:r>
        <w:rPr>
          <w:rFonts w:eastAsia="Calibri"/>
          <w:iCs/>
          <w:lang w:eastAsia="ar-SA"/>
        </w:rPr>
        <w:t>ов</w:t>
      </w:r>
      <w:r w:rsidRPr="00A46578">
        <w:rPr>
          <w:rFonts w:eastAsia="Calibri"/>
          <w:iCs/>
          <w:lang w:eastAsia="ar-SA"/>
        </w:rPr>
        <w:t xml:space="preserve"> нижн</w:t>
      </w:r>
      <w:r>
        <w:rPr>
          <w:rFonts w:eastAsia="Calibri"/>
          <w:iCs/>
          <w:lang w:eastAsia="ar-SA"/>
        </w:rPr>
        <w:t>их</w:t>
      </w:r>
      <w:r w:rsidRPr="00A46578">
        <w:rPr>
          <w:rFonts w:eastAsia="Calibri"/>
          <w:iCs/>
          <w:lang w:eastAsia="ar-SA"/>
        </w:rPr>
        <w:t xml:space="preserve"> конечност</w:t>
      </w:r>
      <w:r>
        <w:rPr>
          <w:rFonts w:eastAsia="Calibri"/>
          <w:iCs/>
          <w:lang w:eastAsia="ar-SA"/>
        </w:rPr>
        <w:t>ей</w:t>
      </w:r>
      <w:r w:rsidRPr="00A46578">
        <w:rPr>
          <w:lang w:eastAsia="ar-SA"/>
        </w:rPr>
        <w:t xml:space="preserve"> Исполнитель</w:t>
      </w:r>
      <w:r>
        <w:rPr>
          <w:lang w:eastAsia="ar-SA"/>
        </w:rPr>
        <w:t xml:space="preserve"> должен проинформировать получателей</w:t>
      </w:r>
      <w:r w:rsidRPr="00A46578">
        <w:rPr>
          <w:lang w:eastAsia="ar-SA"/>
        </w:rPr>
        <w:t xml:space="preserve"> о месте и условиях гарантийного ремонта </w:t>
      </w:r>
      <w:r w:rsidRPr="00A46578">
        <w:rPr>
          <w:rFonts w:eastAsia="Calibri"/>
          <w:iCs/>
          <w:lang w:eastAsia="ar-SA"/>
        </w:rPr>
        <w:t>протез</w:t>
      </w:r>
      <w:r>
        <w:rPr>
          <w:rFonts w:eastAsia="Calibri"/>
          <w:iCs/>
          <w:lang w:eastAsia="ar-SA"/>
        </w:rPr>
        <w:t>ов</w:t>
      </w:r>
      <w:r w:rsidRPr="00A46578">
        <w:rPr>
          <w:rFonts w:eastAsia="Calibri"/>
          <w:iCs/>
          <w:lang w:eastAsia="ar-SA"/>
        </w:rPr>
        <w:t xml:space="preserve"> нижн</w:t>
      </w:r>
      <w:r>
        <w:rPr>
          <w:rFonts w:eastAsia="Calibri"/>
          <w:iCs/>
          <w:lang w:eastAsia="ar-SA"/>
        </w:rPr>
        <w:t>их</w:t>
      </w:r>
      <w:r w:rsidRPr="00A46578">
        <w:rPr>
          <w:rFonts w:eastAsia="Calibri"/>
          <w:iCs/>
          <w:lang w:eastAsia="ar-SA"/>
        </w:rPr>
        <w:t xml:space="preserve"> конечност</w:t>
      </w:r>
      <w:r>
        <w:rPr>
          <w:rFonts w:eastAsia="Calibri"/>
          <w:iCs/>
          <w:lang w:eastAsia="ar-SA"/>
        </w:rPr>
        <w:t>ей</w:t>
      </w:r>
      <w:r w:rsidRPr="00A46578">
        <w:rPr>
          <w:rFonts w:eastAsia="Calibri"/>
          <w:iCs/>
          <w:lang w:eastAsia="ar-SA"/>
        </w:rPr>
        <w:t xml:space="preserve">. </w:t>
      </w:r>
      <w:r w:rsidRPr="00A46578">
        <w:rPr>
          <w:lang w:eastAsia="ar-SA"/>
        </w:rPr>
        <w:t>Гарантийный срок устанавливается со дня подписания Ак</w:t>
      </w:r>
      <w:r>
        <w:rPr>
          <w:lang w:eastAsia="ar-SA"/>
        </w:rPr>
        <w:t>та сдачи-приемки работ получателем</w:t>
      </w:r>
      <w:r w:rsidRPr="00A46578">
        <w:rPr>
          <w:lang w:eastAsia="ar-SA"/>
        </w:rPr>
        <w:t>:</w:t>
      </w:r>
    </w:p>
    <w:p w:rsidR="00BD7F50" w:rsidRPr="00A46578" w:rsidRDefault="00BD7F50" w:rsidP="00BD7F50">
      <w:pPr>
        <w:numPr>
          <w:ilvl w:val="0"/>
          <w:numId w:val="2"/>
        </w:numPr>
        <w:suppressAutoHyphens/>
        <w:spacing w:after="0"/>
        <w:ind w:left="709"/>
        <w:rPr>
          <w:lang w:eastAsia="ar-SA"/>
        </w:rPr>
      </w:pPr>
      <w:r>
        <w:rPr>
          <w:lang w:eastAsia="ar-SA"/>
        </w:rPr>
        <w:t>на протез</w:t>
      </w:r>
      <w:r w:rsidRPr="00A46578">
        <w:rPr>
          <w:lang w:eastAsia="ar-SA"/>
        </w:rPr>
        <w:t xml:space="preserve"> нижн</w:t>
      </w:r>
      <w:r>
        <w:rPr>
          <w:lang w:eastAsia="ar-SA"/>
        </w:rPr>
        <w:t>ей</w:t>
      </w:r>
      <w:r w:rsidRPr="00A46578">
        <w:rPr>
          <w:lang w:eastAsia="ar-SA"/>
        </w:rPr>
        <w:t xml:space="preserve"> конечност</w:t>
      </w:r>
      <w:r>
        <w:rPr>
          <w:lang w:eastAsia="ar-SA"/>
        </w:rPr>
        <w:t>и</w:t>
      </w:r>
      <w:r w:rsidRPr="00A46578">
        <w:rPr>
          <w:lang w:eastAsia="ar-SA"/>
        </w:rPr>
        <w:t xml:space="preserve"> – не менее 9 месяцев;</w:t>
      </w:r>
    </w:p>
    <w:p w:rsidR="00BD7F50" w:rsidRPr="00A46578" w:rsidRDefault="00BD7F50" w:rsidP="00BD7F50">
      <w:pPr>
        <w:suppressAutoHyphens/>
        <w:ind w:firstLine="709"/>
      </w:pPr>
      <w:r>
        <w:t xml:space="preserve">В случае предъявления </w:t>
      </w:r>
      <w:r w:rsidRPr="00A46578">
        <w:t>к качеству полученного протеза нижней конечности, Исполнитель обязан принять от Получателя некачественный протез нижней конечности в течение 3 (трех) рабочих дней с момента выдачи изделия и выполнить работы по его ремонту или замене в течение 15 (пятнадцати) рабочих дней с момента его обращения на аналогичный надлежащего качества. Ремонт и замена должн</w:t>
      </w:r>
      <w:r>
        <w:t>ы</w:t>
      </w:r>
      <w:r w:rsidRPr="00A46578">
        <w:t xml:space="preserve"> производиться Исполнителем за счет собственных средств.</w:t>
      </w:r>
    </w:p>
    <w:p w:rsidR="00BD7F50" w:rsidRPr="00A46578" w:rsidRDefault="00BD7F50" w:rsidP="00BD7F50">
      <w:pPr>
        <w:suppressAutoHyphens/>
        <w:spacing w:after="0"/>
        <w:ind w:firstLine="709"/>
      </w:pPr>
      <w:r w:rsidRPr="00A46578">
        <w:t xml:space="preserve">Обеспечение ремонта </w:t>
      </w:r>
      <w:r w:rsidRPr="00A46578">
        <w:rPr>
          <w:rFonts w:eastAsia="Calibri"/>
          <w:iCs/>
          <w:lang w:eastAsia="ar-SA"/>
        </w:rPr>
        <w:t>протез</w:t>
      </w:r>
      <w:r>
        <w:rPr>
          <w:rFonts w:eastAsia="Calibri"/>
          <w:iCs/>
          <w:lang w:eastAsia="ar-SA"/>
        </w:rPr>
        <w:t>ов</w:t>
      </w:r>
      <w:r w:rsidRPr="00A46578">
        <w:rPr>
          <w:rFonts w:eastAsia="Calibri"/>
          <w:iCs/>
          <w:lang w:eastAsia="ar-SA"/>
        </w:rPr>
        <w:t xml:space="preserve"> нижн</w:t>
      </w:r>
      <w:r>
        <w:rPr>
          <w:rFonts w:eastAsia="Calibri"/>
          <w:iCs/>
          <w:lang w:eastAsia="ar-SA"/>
        </w:rPr>
        <w:t>их</w:t>
      </w:r>
      <w:r w:rsidRPr="00A46578">
        <w:rPr>
          <w:rFonts w:eastAsia="Calibri"/>
          <w:iCs/>
          <w:lang w:eastAsia="ar-SA"/>
        </w:rPr>
        <w:t xml:space="preserve"> конечност</w:t>
      </w:r>
      <w:r>
        <w:rPr>
          <w:rFonts w:eastAsia="Calibri"/>
          <w:iCs/>
          <w:lang w:eastAsia="ar-SA"/>
        </w:rPr>
        <w:t>ей</w:t>
      </w:r>
      <w:r w:rsidRPr="00A46578">
        <w:rPr>
          <w:lang w:eastAsia="ar-SA"/>
        </w:rPr>
        <w:t>, устранения недостатков должно осуществляться в соответствии с Федеральным законом от 07.02.1992 г. №2300-1 «О защите прав потребителей».</w:t>
      </w:r>
    </w:p>
    <w:p w:rsidR="00BD7F50" w:rsidRPr="00F71725" w:rsidRDefault="00BD7F50" w:rsidP="00BD7F50">
      <w:pPr>
        <w:pStyle w:val="a5"/>
        <w:widowControl w:val="0"/>
        <w:numPr>
          <w:ilvl w:val="0"/>
          <w:numId w:val="1"/>
        </w:numPr>
        <w:contextualSpacing/>
        <w:jc w:val="both"/>
        <w:rPr>
          <w:b/>
        </w:rPr>
      </w:pPr>
      <w:r w:rsidRPr="00F71725">
        <w:rPr>
          <w:b/>
        </w:rPr>
        <w:t>Требования к месту, срокам и условиям выполнения работ</w:t>
      </w:r>
    </w:p>
    <w:p w:rsidR="00BD7F50" w:rsidRDefault="00BD7F50" w:rsidP="00BD7F50">
      <w:pPr>
        <w:keepLines/>
        <w:widowControl w:val="0"/>
        <w:suppressLineNumbers/>
        <w:autoSpaceDE w:val="0"/>
        <w:spacing w:after="0"/>
        <w:ind w:firstLine="709"/>
      </w:pPr>
      <w:r w:rsidRPr="00F71725">
        <w:t xml:space="preserve">Выполнение </w:t>
      </w:r>
      <w:r w:rsidRPr="00831062">
        <w:t xml:space="preserve">работ по изготовлению протезов </w:t>
      </w:r>
      <w:r w:rsidRPr="00831062">
        <w:rPr>
          <w:rFonts w:eastAsia="Calibri"/>
          <w:iCs/>
          <w:lang w:eastAsia="ar-SA"/>
        </w:rPr>
        <w:t>нижних</w:t>
      </w:r>
      <w:r w:rsidRPr="00831062">
        <w:t xml:space="preserve"> конечностей должно быть начато не позднее 5 (пяти) рабочих дней с момента получения списков Получателей от Заказчика и исполнено в срок не позднее 31 августа 2024 года (включительно), а в случае обращения Получателя с Направлением – в срок не более 60 дней со дня обращения, но не позднее 31 августа 2024 года (включительно).</w:t>
      </w:r>
    </w:p>
    <w:p w:rsidR="00BD7F50" w:rsidRPr="00831062" w:rsidRDefault="00BD7F50" w:rsidP="00BD7F50">
      <w:pPr>
        <w:keepLines/>
        <w:widowControl w:val="0"/>
        <w:suppressLineNumbers/>
        <w:autoSpaceDE w:val="0"/>
        <w:spacing w:after="0"/>
        <w:ind w:firstLine="709"/>
      </w:pPr>
      <w:r w:rsidRPr="00831062">
        <w:lastRenderedPageBreak/>
        <w:t>Списки Получателей предоставляются Заказчиком Исполнителю не позднее 23 августа 2024 года (включительно).</w:t>
      </w:r>
    </w:p>
    <w:p w:rsidR="00BD7F50" w:rsidRPr="00831062" w:rsidRDefault="00BD7F50" w:rsidP="00BD7F50">
      <w:pPr>
        <w:keepLines/>
        <w:widowControl w:val="0"/>
        <w:suppressLineNumbers/>
        <w:autoSpaceDE w:val="0"/>
        <w:spacing w:after="0"/>
        <w:ind w:firstLine="709"/>
      </w:pPr>
      <w:r w:rsidRPr="00831062">
        <w:t xml:space="preserve">О предстоящем выполнении работ по </w:t>
      </w:r>
      <w:proofErr w:type="gramStart"/>
      <w:r w:rsidRPr="00831062">
        <w:t>изготовлению  протезов</w:t>
      </w:r>
      <w:proofErr w:type="gramEnd"/>
      <w:r w:rsidRPr="00831062">
        <w:t xml:space="preserve"> </w:t>
      </w:r>
      <w:r w:rsidRPr="00831062">
        <w:rPr>
          <w:rFonts w:eastAsia="Calibri"/>
          <w:iCs/>
          <w:lang w:eastAsia="ar-SA"/>
        </w:rPr>
        <w:t>нижних</w:t>
      </w:r>
      <w:r w:rsidRPr="00831062">
        <w:t xml:space="preserve"> конечностей </w:t>
      </w:r>
      <w:r w:rsidR="00831062">
        <w:t>Получатель</w:t>
      </w:r>
      <w:r w:rsidRPr="00831062">
        <w:t xml:space="preserve"> должен быть уведомлен Исполнителем не позднее, чем за два рабочих дня до предполагаемой даты замера.</w:t>
      </w:r>
    </w:p>
    <w:p w:rsidR="00BD7F50" w:rsidRPr="00831062" w:rsidRDefault="00BD7F50" w:rsidP="00BD7F50">
      <w:pPr>
        <w:keepNext/>
        <w:keepLines/>
        <w:ind w:firstLine="709"/>
        <w:rPr>
          <w:rFonts w:eastAsiaTheme="minorHAnsi"/>
          <w:b/>
        </w:rPr>
      </w:pPr>
      <w:r w:rsidRPr="00831062">
        <w:rPr>
          <w:rFonts w:eastAsiaTheme="minorHAnsi"/>
          <w:b/>
        </w:rPr>
        <w:t>Место выполнения работ:</w:t>
      </w:r>
    </w:p>
    <w:p w:rsidR="00BD7F50" w:rsidRPr="00831062" w:rsidRDefault="00BD7F50" w:rsidP="00BD7F50">
      <w:pPr>
        <w:pStyle w:val="a5"/>
        <w:keepNext/>
        <w:keepLines/>
        <w:numPr>
          <w:ilvl w:val="0"/>
          <w:numId w:val="3"/>
        </w:numPr>
        <w:suppressAutoHyphens/>
        <w:ind w:left="709"/>
        <w:jc w:val="both"/>
        <w:rPr>
          <w:rFonts w:eastAsiaTheme="minorHAnsi"/>
        </w:rPr>
      </w:pPr>
      <w:r w:rsidRPr="00831062">
        <w:rPr>
          <w:rFonts w:eastAsiaTheme="minorHAnsi"/>
        </w:rPr>
        <w:t>изготовление протезов – Российская Федерация: по месту нахождения Исполнителя;</w:t>
      </w:r>
    </w:p>
    <w:p w:rsidR="00BD7F50" w:rsidRPr="00831062" w:rsidRDefault="00BD7F50" w:rsidP="00BD7F50">
      <w:pPr>
        <w:pStyle w:val="a5"/>
        <w:keepNext/>
        <w:keepLines/>
        <w:numPr>
          <w:ilvl w:val="0"/>
          <w:numId w:val="3"/>
        </w:numPr>
        <w:suppressAutoHyphens/>
        <w:ind w:left="709"/>
        <w:jc w:val="both"/>
        <w:rPr>
          <w:rFonts w:eastAsiaTheme="minorHAnsi"/>
        </w:rPr>
      </w:pPr>
      <w:r w:rsidRPr="00831062">
        <w:rPr>
          <w:rFonts w:eastAsiaTheme="minorHAnsi"/>
        </w:rPr>
        <w:t>снятие замеров (слепков) для изготовления протезов – Российская Федерация: Калининградская область, по месту нахождения помещения Исполнителя (в собственности или предоставленного на правах аренды);</w:t>
      </w:r>
    </w:p>
    <w:p w:rsidR="00BD7F50" w:rsidRPr="00092CE2" w:rsidRDefault="00BD7F50" w:rsidP="00BD7F50">
      <w:pPr>
        <w:pStyle w:val="a5"/>
        <w:keepNext/>
        <w:keepLines/>
        <w:numPr>
          <w:ilvl w:val="0"/>
          <w:numId w:val="3"/>
        </w:numPr>
        <w:suppressAutoHyphens/>
        <w:ind w:left="709"/>
        <w:jc w:val="both"/>
        <w:rPr>
          <w:rFonts w:eastAsiaTheme="minorHAnsi"/>
        </w:rPr>
      </w:pPr>
      <w:r w:rsidRPr="00831062">
        <w:rPr>
          <w:rFonts w:eastAsiaTheme="minorHAnsi"/>
        </w:rPr>
        <w:t xml:space="preserve">выдача </w:t>
      </w:r>
      <w:r w:rsidR="00831062">
        <w:rPr>
          <w:rFonts w:eastAsiaTheme="minorHAnsi"/>
        </w:rPr>
        <w:t>П</w:t>
      </w:r>
      <w:r w:rsidRPr="00831062">
        <w:rPr>
          <w:rFonts w:eastAsiaTheme="minorHAnsi"/>
        </w:rPr>
        <w:t>олучателям изготовленных протезов – Российская Федерация: Калининградская область, по месту нахождения помещения Исполнителя (в собственности или предоставленного на правах аренды</w:t>
      </w:r>
      <w:r w:rsidRPr="00F71725">
        <w:rPr>
          <w:rFonts w:eastAsiaTheme="minorHAnsi"/>
        </w:rPr>
        <w:t>).</w:t>
      </w:r>
    </w:p>
    <w:p w:rsidR="00BD7F50" w:rsidRDefault="00BD7F50" w:rsidP="00BD7F50">
      <w:pPr>
        <w:keepLines/>
        <w:widowControl w:val="0"/>
        <w:suppressLineNumbers/>
        <w:autoSpaceDE w:val="0"/>
        <w:spacing w:after="0"/>
        <w:ind w:firstLine="709"/>
      </w:pPr>
      <w:r w:rsidRPr="00A46578">
        <w:t>В цену Контракта включаются все расходы Исполнителя, связанные с выполнением ра</w:t>
      </w:r>
      <w:r>
        <w:t>бот по изготовлению</w:t>
      </w:r>
      <w:r w:rsidRPr="00127905">
        <w:t xml:space="preserve"> протез</w:t>
      </w:r>
      <w:r>
        <w:t xml:space="preserve">ов </w:t>
      </w:r>
      <w:r>
        <w:rPr>
          <w:rFonts w:eastAsia="Calibri"/>
          <w:iCs/>
          <w:lang w:eastAsia="ar-SA"/>
        </w:rPr>
        <w:t>нижних</w:t>
      </w:r>
      <w:r w:rsidRPr="00127905">
        <w:t xml:space="preserve"> конечност</w:t>
      </w:r>
      <w:r>
        <w:t>ей</w:t>
      </w:r>
      <w:r w:rsidRPr="00A46578">
        <w:t>, налоги и другие обязательные платежи, которые Исполнитель должен выплатить в связи с выполнением обязательств по Контракту в соответствии с действующим законодательством Российской Федерации.</w:t>
      </w:r>
    </w:p>
    <w:p w:rsidR="00831062" w:rsidRPr="00F71725" w:rsidRDefault="00831062" w:rsidP="00BD7F50">
      <w:pPr>
        <w:keepLines/>
        <w:widowControl w:val="0"/>
        <w:suppressLineNumbers/>
        <w:autoSpaceDE w:val="0"/>
        <w:spacing w:after="0"/>
        <w:ind w:firstLine="709"/>
      </w:pPr>
    </w:p>
    <w:p w:rsidR="00BD7F50" w:rsidRPr="00A46578" w:rsidRDefault="00BD7F50" w:rsidP="00BD7F50">
      <w:pPr>
        <w:pStyle w:val="a5"/>
        <w:widowControl w:val="0"/>
        <w:numPr>
          <w:ilvl w:val="0"/>
          <w:numId w:val="1"/>
        </w:numPr>
        <w:contextualSpacing/>
        <w:jc w:val="both"/>
        <w:rPr>
          <w:b/>
          <w:lang w:eastAsia="ar-SA"/>
        </w:rPr>
      </w:pPr>
      <w:r w:rsidRPr="00A46578">
        <w:rPr>
          <w:b/>
        </w:rPr>
        <w:t>Описание</w:t>
      </w:r>
      <w:r w:rsidRPr="00A46578">
        <w:rPr>
          <w:b/>
          <w:lang w:eastAsia="ar-SA"/>
        </w:rPr>
        <w:t xml:space="preserve"> функциональных и технических характеристик работ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134"/>
      </w:tblGrid>
      <w:tr w:rsidR="00BD7F50" w:rsidRPr="006963D4" w:rsidTr="00565D3F">
        <w:trPr>
          <w:trHeight w:val="264"/>
        </w:trPr>
        <w:tc>
          <w:tcPr>
            <w:tcW w:w="8755" w:type="dxa"/>
            <w:shd w:val="clear" w:color="auto" w:fill="auto"/>
            <w:vAlign w:val="center"/>
          </w:tcPr>
          <w:p w:rsidR="00BD7F50" w:rsidRPr="00EB5A48" w:rsidRDefault="00BD7F50" w:rsidP="00565D3F">
            <w:pPr>
              <w:suppressAutoHyphens/>
              <w:spacing w:after="0"/>
              <w:jc w:val="center"/>
              <w:rPr>
                <w:rFonts w:eastAsia="Calibri"/>
                <w:b/>
                <w:szCs w:val="22"/>
                <w:lang w:eastAsia="ar-SA"/>
              </w:rPr>
            </w:pPr>
            <w:r w:rsidRPr="00EB5A48">
              <w:rPr>
                <w:rFonts w:eastAsia="Calibri"/>
                <w:b/>
                <w:szCs w:val="22"/>
                <w:lang w:eastAsia="ar-SA"/>
              </w:rPr>
              <w:t>Наименование протеза и технические, функциональные, качественные и эксплуатационные характеристики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50" w:rsidRPr="00EB5A48" w:rsidRDefault="00BD7F50" w:rsidP="00565D3F">
            <w:pPr>
              <w:suppressAutoHyphens/>
              <w:spacing w:after="0"/>
              <w:jc w:val="center"/>
              <w:rPr>
                <w:rFonts w:eastAsia="Calibri"/>
                <w:b/>
                <w:szCs w:val="22"/>
                <w:lang w:eastAsia="ar-SA"/>
              </w:rPr>
            </w:pPr>
            <w:r w:rsidRPr="00EB5A48">
              <w:rPr>
                <w:rFonts w:eastAsia="Calibri"/>
                <w:b/>
                <w:szCs w:val="22"/>
                <w:lang w:eastAsia="ar-SA"/>
              </w:rPr>
              <w:t>Количество, шт.</w:t>
            </w:r>
          </w:p>
        </w:tc>
      </w:tr>
      <w:tr w:rsidR="00BD7F50" w:rsidRPr="006963D4" w:rsidTr="00565D3F">
        <w:trPr>
          <w:trHeight w:val="101"/>
        </w:trPr>
        <w:tc>
          <w:tcPr>
            <w:tcW w:w="8755" w:type="dxa"/>
            <w:shd w:val="clear" w:color="auto" w:fill="auto"/>
          </w:tcPr>
          <w:p w:rsidR="00BD7F50" w:rsidRPr="00E26868" w:rsidRDefault="00BD7F50" w:rsidP="00565D3F">
            <w:r w:rsidRPr="00E26868">
              <w:rPr>
                <w:b/>
              </w:rPr>
              <w:t>Протез бедра модульный</w:t>
            </w:r>
            <w:r w:rsidRPr="00E26868">
              <w:t xml:space="preserve">; формообразующая часть косметической облицовки – модульная мягкая полиуретановая (поролон). Косметическое покрытие облицовки – чулки ортопедические </w:t>
            </w:r>
            <w:proofErr w:type="spellStart"/>
            <w:r w:rsidRPr="00E26868">
              <w:t>перлоновые</w:t>
            </w:r>
            <w:proofErr w:type="spellEnd"/>
            <w:r w:rsidRPr="00E26868">
              <w:t>. Приемная гильза индивидуальная, изготовлена по индивиду</w:t>
            </w:r>
            <w:r>
              <w:t>альному слепку с культи</w:t>
            </w:r>
            <w:r w:rsidRPr="00E26868">
              <w:t xml:space="preserve">; количество приемных (пробных) гильз 2 (при необходимости) из листового термопластичного пластика; постоянная приемная гильза из литьевого слоистого пластика на основе акриловых смол, листовой термопластичный пластик. Вкладная гильза из вспененных материалов (при необходимости) или частичная внутренняя </w:t>
            </w:r>
            <w:proofErr w:type="spellStart"/>
            <w:r w:rsidRPr="00E26868">
              <w:t>выклейка</w:t>
            </w:r>
            <w:proofErr w:type="spellEnd"/>
            <w:r w:rsidRPr="00E26868">
              <w:t xml:space="preserve"> гильзы. Крепление протеза бедра при помощи: бедренного поддерживающего бандажа, пояс кожаный с использованием кожаных полуфабрикатов или клапана вакуумного. Коленный шарнир модульный (подбирается по уровню активности и весу пациента), может быть: одноосный с фиксатором (фиксируется шарнир в разогнутом состоянии, разблокировка осуществляется посредством тяги); четырехзвенный полицентрический (производит вращательные и поступательные движения благодаря своей полицентрической конструкции и встроенному толкателю); одноосный с толкателем, с тормозным механизмом (механизм в комбинации со смещением назад обеспечивает устойчивость в фазе опоры, фаза переноса регулируется за счет осевого трения и усилия пружин). Модульные регулировочно - соединительные узлы соответствуют весу </w:t>
            </w:r>
            <w:r>
              <w:t>получателя</w:t>
            </w:r>
            <w:r w:rsidRPr="00E26868">
              <w:t xml:space="preserve">. Модульная стопа (подбирается по уровню активности и весу пациента), может быть: одноосная шарнирная, подвижная в сагиттальной плоскости или полиуретановая </w:t>
            </w:r>
            <w:proofErr w:type="spellStart"/>
            <w:r w:rsidRPr="00E26868">
              <w:t>бесшарнирная</w:t>
            </w:r>
            <w:proofErr w:type="spellEnd"/>
            <w:r w:rsidRPr="00E26868">
              <w:t>. Тип протеза: постоянный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50" w:rsidRPr="005F32E1" w:rsidRDefault="00BD7F50" w:rsidP="00565D3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F32E1">
              <w:rPr>
                <w:color w:val="000000"/>
                <w:sz w:val="20"/>
                <w:szCs w:val="20"/>
              </w:rPr>
              <w:t xml:space="preserve"> 10</w:t>
            </w:r>
          </w:p>
        </w:tc>
      </w:tr>
      <w:tr w:rsidR="00BD7F50" w:rsidRPr="006963D4" w:rsidTr="00565D3F">
        <w:tc>
          <w:tcPr>
            <w:tcW w:w="8755" w:type="dxa"/>
            <w:shd w:val="clear" w:color="auto" w:fill="auto"/>
          </w:tcPr>
          <w:p w:rsidR="00BD7F50" w:rsidRPr="00E26868" w:rsidRDefault="00BD7F50" w:rsidP="00565D3F">
            <w:pPr>
              <w:snapToGrid w:val="0"/>
            </w:pPr>
            <w:r w:rsidRPr="00E26868">
              <w:rPr>
                <w:b/>
              </w:rPr>
              <w:t>Протез бедра модульный</w:t>
            </w:r>
            <w:r w:rsidRPr="00E26868">
              <w:t xml:space="preserve">; формообразующая часть косметической облицовки – модульная мягкая полиуретановая (поролон). Косметическое покрытие облицовки – чулки ортопедические </w:t>
            </w:r>
            <w:proofErr w:type="spellStart"/>
            <w:r w:rsidRPr="00E26868">
              <w:t>перлоновые</w:t>
            </w:r>
            <w:proofErr w:type="spellEnd"/>
            <w:r w:rsidRPr="00E26868">
              <w:t>. Приемная гильза индивидуальная, изготовлена по индивид</w:t>
            </w:r>
            <w:r>
              <w:t>уальному слепку с культи по</w:t>
            </w:r>
            <w:bookmarkStart w:id="0" w:name="_GoBack"/>
            <w:bookmarkEnd w:id="0"/>
            <w:r>
              <w:t>лучателя</w:t>
            </w:r>
            <w:r w:rsidRPr="00E26868">
              <w:t xml:space="preserve">; количество приемных (пробных) гильз 2 (при необходимости) из листового термопластичного пластика; постоянная приемная гильза из литьевого слоистого пластика на основе акриловых смол, листовой термопластичный пластик. Вкладная гильза из вспененных материалов (при необходимости) или частичная внутренняя </w:t>
            </w:r>
            <w:proofErr w:type="spellStart"/>
            <w:r w:rsidRPr="00E26868">
              <w:t>выклейка</w:t>
            </w:r>
            <w:proofErr w:type="spellEnd"/>
            <w:r w:rsidRPr="00E26868">
              <w:t xml:space="preserve"> гильзы. Крепление протеза бедра при помощи: бедренного поддерживающего бандажа, пояс кожаный с использованием кожаных полуфабрикатов или клапана </w:t>
            </w:r>
            <w:r w:rsidRPr="00E26868">
              <w:lastRenderedPageBreak/>
              <w:t xml:space="preserve">вакуумного.   Модульный коленный шарнир, многоосный с пневматическим управлением фазой переноса. Пневматическая система с интегрированным пружинным толкателем обеспечивает плавное маятниковое движение. Коленный шарнир надежно фиксируется в фазе опоры, с особенно легким переходом с фазы опоры в фазу переноса и плавный упор при разгибании обеспечивают естественную походку. Модульные регулировочно - соединительные узлы соответствуют весу </w:t>
            </w:r>
            <w:r>
              <w:t>получателя</w:t>
            </w:r>
            <w:r w:rsidRPr="00E26868">
              <w:t xml:space="preserve">. </w:t>
            </w:r>
            <w:proofErr w:type="gramStart"/>
            <w:r w:rsidRPr="00E26868">
              <w:t>Стопа  карбоновая</w:t>
            </w:r>
            <w:proofErr w:type="gramEnd"/>
            <w:r w:rsidRPr="00E26868">
              <w:t>, активная, гасит ударные нагрузки при наступлении на пятку, обеспечивает физиологический перекат и отличную отдачу накопительной энергии. Надежные, контролируемые движения обеспечивают дополнительную уве</w:t>
            </w:r>
            <w:r>
              <w:t>ренность</w:t>
            </w:r>
            <w:r w:rsidRPr="00E26868">
              <w:t>. Стопа подходит для различной скорости ходьбы, ходьбы по пересеченной местности. Тип протеза: постоянный</w:t>
            </w:r>
          </w:p>
          <w:p w:rsidR="00BD7F50" w:rsidRPr="00E26868" w:rsidRDefault="00BD7F50" w:rsidP="00565D3F">
            <w:pPr>
              <w:snapToGrid w:val="0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7F50" w:rsidRPr="005F32E1" w:rsidRDefault="00BD7F50" w:rsidP="00565D3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F32E1">
              <w:rPr>
                <w:color w:val="000000"/>
                <w:sz w:val="20"/>
                <w:szCs w:val="20"/>
              </w:rPr>
              <w:lastRenderedPageBreak/>
              <w:t xml:space="preserve"> 6</w:t>
            </w:r>
          </w:p>
        </w:tc>
      </w:tr>
      <w:tr w:rsidR="00BD7F50" w:rsidRPr="006963D4" w:rsidTr="00565D3F">
        <w:tc>
          <w:tcPr>
            <w:tcW w:w="8755" w:type="dxa"/>
            <w:shd w:val="clear" w:color="auto" w:fill="auto"/>
          </w:tcPr>
          <w:p w:rsidR="00BD7F50" w:rsidRPr="00E26868" w:rsidRDefault="00BD7F50" w:rsidP="00565D3F">
            <w:pPr>
              <w:snapToGrid w:val="0"/>
              <w:spacing w:line="100" w:lineRule="atLeast"/>
            </w:pPr>
            <w:r w:rsidRPr="00E26868">
              <w:rPr>
                <w:b/>
              </w:rPr>
              <w:t>Протез голени модульный</w:t>
            </w:r>
            <w:r w:rsidRPr="00E26868">
              <w:t xml:space="preserve">; формообразующая часть косметической облицовки – модульная полужесткая полиуретановая (эластичная). Косметическое покрытие облицовки – чулки ортопедические </w:t>
            </w:r>
            <w:proofErr w:type="spellStart"/>
            <w:r w:rsidRPr="00E26868">
              <w:t>перлоновые</w:t>
            </w:r>
            <w:proofErr w:type="spellEnd"/>
            <w:r w:rsidRPr="00E26868">
              <w:t xml:space="preserve">. Приемная гильза индивидуальная, изготовлена по </w:t>
            </w:r>
            <w:r>
              <w:t>индивидуальному слепку с культи</w:t>
            </w:r>
            <w:r w:rsidRPr="00E26868">
              <w:t xml:space="preserve">; количество приемных (пробных) гильз 2 (при необходимости) из листового термопластичного пластика; постоянная приемная гильза из литьевого слоистого пластика на основе акриловых смол, листовой термопластичный пластик. Вкладная гильза из вспененных материалов или частичная внутренняя </w:t>
            </w:r>
            <w:proofErr w:type="spellStart"/>
            <w:r w:rsidRPr="00E26868">
              <w:t>выклейка</w:t>
            </w:r>
            <w:proofErr w:type="spellEnd"/>
            <w:r w:rsidRPr="00E26868">
              <w:t xml:space="preserve"> гильзы. Крепление протеза голени при помощи: силиконового наколенника, пояс кожаный с использованием кожаных полуфабрикатов. Модульные регулировочно - соединительные узлы соот</w:t>
            </w:r>
            <w:r>
              <w:t>ветствуют весу получателя</w:t>
            </w:r>
            <w:r w:rsidRPr="00E26868">
              <w:t xml:space="preserve">. Модульная стопа (подбирается по уровню активности и весу пациента), может быть: одноосная шарнирная, подвижная в сагиттальной плоскости или полиуретановая </w:t>
            </w:r>
            <w:proofErr w:type="spellStart"/>
            <w:r w:rsidRPr="00E26868">
              <w:t>бесшарнирная</w:t>
            </w:r>
            <w:proofErr w:type="spellEnd"/>
            <w:r w:rsidRPr="00E26868">
              <w:t>. Тип протеза: постоянный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50" w:rsidRPr="005F32E1" w:rsidRDefault="00BD7F50" w:rsidP="00565D3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F32E1">
              <w:rPr>
                <w:color w:val="000000"/>
                <w:sz w:val="20"/>
                <w:szCs w:val="20"/>
              </w:rPr>
              <w:t xml:space="preserve">15 </w:t>
            </w:r>
          </w:p>
        </w:tc>
      </w:tr>
      <w:tr w:rsidR="00BD7F50" w:rsidRPr="006963D4" w:rsidTr="00565D3F">
        <w:tc>
          <w:tcPr>
            <w:tcW w:w="8755" w:type="dxa"/>
            <w:shd w:val="clear" w:color="auto" w:fill="auto"/>
          </w:tcPr>
          <w:p w:rsidR="00BD7F50" w:rsidRPr="00E26868" w:rsidRDefault="00BD7F50" w:rsidP="00565D3F">
            <w:pPr>
              <w:snapToGrid w:val="0"/>
            </w:pPr>
            <w:r w:rsidRPr="00E26868">
              <w:rPr>
                <w:b/>
                <w:bCs/>
              </w:rPr>
              <w:t>Протез голени модульный</w:t>
            </w:r>
            <w:r w:rsidRPr="00E26868">
              <w:t xml:space="preserve">; формообразующая часть косметической облицовки – модульная полужесткая полиуретановая (эластичная). Косметическое покрытие облицовки – чулки ортопедические </w:t>
            </w:r>
            <w:proofErr w:type="spellStart"/>
            <w:r w:rsidRPr="00E26868">
              <w:t>перлоновые</w:t>
            </w:r>
            <w:proofErr w:type="spellEnd"/>
            <w:r w:rsidRPr="00E26868">
              <w:t xml:space="preserve">. Приемная гильза индивидуальная, изготовлена по </w:t>
            </w:r>
            <w:r>
              <w:t>индивидуальному слепку с культи</w:t>
            </w:r>
            <w:r w:rsidRPr="00E26868">
              <w:t xml:space="preserve">; количество приемных (пробных) гильз 2 (при необходимости) из листового термопластичного пластика; постоянная приемная гильза из литьевого слоистого пластика на основе акриловых смол, листовой термопластичный пластик. Вкладная гильза из вспененных материалов или частичная внутренняя </w:t>
            </w:r>
            <w:proofErr w:type="spellStart"/>
            <w:r w:rsidRPr="00E26868">
              <w:t>выклейка</w:t>
            </w:r>
            <w:proofErr w:type="spellEnd"/>
            <w:r w:rsidRPr="00E26868">
              <w:t xml:space="preserve"> гильзы. Крепление протеза силиконовым лайнером с дистальным креплением, лайнер крепиться челночным замком или силиконовым лайнером с мембраной </w:t>
            </w:r>
            <w:proofErr w:type="gramStart"/>
            <w:r w:rsidRPr="00E26868">
              <w:t>( от</w:t>
            </w:r>
            <w:proofErr w:type="gramEnd"/>
            <w:r w:rsidRPr="00E26868">
              <w:t xml:space="preserve"> 1 до 5 мембран) и активного вакуумного клапана. </w:t>
            </w:r>
            <w:proofErr w:type="gramStart"/>
            <w:r w:rsidRPr="00E26868">
              <w:t>Стопа  карбоновая</w:t>
            </w:r>
            <w:proofErr w:type="gramEnd"/>
            <w:r w:rsidRPr="00E26868">
              <w:t>, активная, гасит ударные нагрузки при наступлении на пятку, обеспечивает физиологический перекат и отличную отдачу накопительной энергии. Надежные, контролируемые движения обеспечивают доп</w:t>
            </w:r>
            <w:r>
              <w:t>олнительную уверенность</w:t>
            </w:r>
            <w:r w:rsidRPr="00E26868">
              <w:t>. Стопа подходит для различной скорости ходьбы, ходьбы по пересеченной местности. Тип протеза: постоянный</w:t>
            </w:r>
          </w:p>
          <w:p w:rsidR="00BD7F50" w:rsidRPr="00E26868" w:rsidRDefault="00BD7F50" w:rsidP="00565D3F">
            <w:pPr>
              <w:snapToGrid w:val="0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7F50" w:rsidRPr="005F32E1" w:rsidRDefault="00BD7F50" w:rsidP="00565D3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F32E1">
              <w:rPr>
                <w:color w:val="000000"/>
                <w:sz w:val="20"/>
                <w:szCs w:val="20"/>
              </w:rPr>
              <w:t xml:space="preserve">10 </w:t>
            </w:r>
          </w:p>
        </w:tc>
      </w:tr>
      <w:tr w:rsidR="00BD7F50" w:rsidRPr="006963D4" w:rsidTr="00565D3F">
        <w:tc>
          <w:tcPr>
            <w:tcW w:w="8755" w:type="dxa"/>
            <w:shd w:val="clear" w:color="auto" w:fill="auto"/>
          </w:tcPr>
          <w:p w:rsidR="00BD7F50" w:rsidRPr="00E26868" w:rsidRDefault="00BD7F50" w:rsidP="00565D3F">
            <w:pPr>
              <w:snapToGrid w:val="0"/>
              <w:spacing w:line="100" w:lineRule="atLeast"/>
            </w:pPr>
            <w:r w:rsidRPr="00E26868">
              <w:rPr>
                <w:b/>
                <w:bCs/>
              </w:rPr>
              <w:t>Протез стопы;</w:t>
            </w:r>
            <w:r w:rsidRPr="00E26868">
              <w:t xml:space="preserve"> Приемная гильза индивидуальная, изготовлена по индивидуаль</w:t>
            </w:r>
            <w:r>
              <w:t>ному слепку с культи</w:t>
            </w:r>
            <w:r w:rsidRPr="00E26868">
              <w:t xml:space="preserve">; из листового термопластичного пластика, листовой </w:t>
            </w:r>
            <w:proofErr w:type="spellStart"/>
            <w:r w:rsidRPr="00E26868">
              <w:t>термоформируемый</w:t>
            </w:r>
            <w:proofErr w:type="spellEnd"/>
            <w:r w:rsidRPr="00E26868">
              <w:t xml:space="preserve"> материал. Вкладная гильза из вспененных материалов, или частичная внутренняя </w:t>
            </w:r>
            <w:proofErr w:type="spellStart"/>
            <w:r w:rsidRPr="00E26868">
              <w:t>выклейка</w:t>
            </w:r>
            <w:proofErr w:type="spellEnd"/>
            <w:r w:rsidRPr="00E26868">
              <w:t xml:space="preserve"> гильзы. Силиконовая косметическая оболочка стопы с ярко выраженной </w:t>
            </w:r>
            <w:proofErr w:type="spellStart"/>
            <w:r w:rsidRPr="00E26868">
              <w:t>косметичностью</w:t>
            </w:r>
            <w:proofErr w:type="spellEnd"/>
            <w:r w:rsidRPr="00E26868">
              <w:t xml:space="preserve">, с </w:t>
            </w:r>
            <w:proofErr w:type="spellStart"/>
            <w:r w:rsidRPr="00E26868">
              <w:t>рекуперационной</w:t>
            </w:r>
            <w:proofErr w:type="spellEnd"/>
            <w:r w:rsidRPr="00E26868">
              <w:t xml:space="preserve"> пластиной из </w:t>
            </w:r>
            <w:proofErr w:type="spellStart"/>
            <w:r w:rsidRPr="00E26868">
              <w:t>углеволокна</w:t>
            </w:r>
            <w:proofErr w:type="spellEnd"/>
            <w:r w:rsidRPr="00E26868">
              <w:t xml:space="preserve">. Крепление протеза; встроенная застежка молния или застежка </w:t>
            </w:r>
            <w:proofErr w:type="spellStart"/>
            <w:r w:rsidRPr="00E26868">
              <w:t>вилкро</w:t>
            </w:r>
            <w:proofErr w:type="spellEnd"/>
            <w:r w:rsidRPr="00E26868">
              <w:t>. Тип протеза: постоянный</w:t>
            </w:r>
          </w:p>
          <w:p w:rsidR="00BD7F50" w:rsidRPr="00E26868" w:rsidRDefault="00BD7F50" w:rsidP="00565D3F">
            <w:pPr>
              <w:snapToGrid w:val="0"/>
              <w:spacing w:line="100" w:lineRule="atLeast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7F50" w:rsidRPr="005F32E1" w:rsidRDefault="00BD7F50" w:rsidP="00565D3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F32E1">
              <w:rPr>
                <w:color w:val="000000"/>
                <w:sz w:val="20"/>
                <w:szCs w:val="20"/>
              </w:rPr>
              <w:t xml:space="preserve">2 </w:t>
            </w:r>
          </w:p>
        </w:tc>
      </w:tr>
      <w:tr w:rsidR="00BD7F50" w:rsidRPr="006963D4" w:rsidTr="00565D3F">
        <w:tc>
          <w:tcPr>
            <w:tcW w:w="8755" w:type="dxa"/>
            <w:shd w:val="clear" w:color="auto" w:fill="auto"/>
          </w:tcPr>
          <w:p w:rsidR="00BD7F50" w:rsidRPr="00E26868" w:rsidRDefault="00BD7F50" w:rsidP="00565D3F">
            <w:pPr>
              <w:snapToGrid w:val="0"/>
              <w:spacing w:line="100" w:lineRule="atLeast"/>
              <w:rPr>
                <w:b/>
                <w:bCs/>
              </w:rPr>
            </w:pPr>
            <w:r w:rsidRPr="00E26868">
              <w:rPr>
                <w:b/>
                <w:bCs/>
              </w:rPr>
              <w:t>Протез стопы;</w:t>
            </w:r>
            <w:r w:rsidRPr="00E26868">
              <w:t xml:space="preserve"> Приемная гильза индивидуальная, изготовлена по индивидуальному слепку с к</w:t>
            </w:r>
            <w:r>
              <w:t>ульти</w:t>
            </w:r>
            <w:r w:rsidRPr="00E26868">
              <w:t xml:space="preserve">; количество приемных (пробных) гильз 2 (при необходимости) из листового термопластичного пластика; постоянная приемная </w:t>
            </w:r>
            <w:r w:rsidRPr="00E26868">
              <w:lastRenderedPageBreak/>
              <w:t xml:space="preserve">гильза из литьевого слоистого пластика на основе акриловых смол, листовой термопластичный пластик. Вкладная гильза из вспененных материалов, или частичная внутренняя </w:t>
            </w:r>
            <w:proofErr w:type="spellStart"/>
            <w:r w:rsidRPr="00E26868">
              <w:t>выклейка</w:t>
            </w:r>
            <w:proofErr w:type="spellEnd"/>
            <w:r w:rsidRPr="00E26868">
              <w:t xml:space="preserve"> гильзы. Стопа </w:t>
            </w:r>
            <w:proofErr w:type="spellStart"/>
            <w:r w:rsidRPr="00E26868">
              <w:t>бесшарнирная</w:t>
            </w:r>
            <w:proofErr w:type="spellEnd"/>
            <w:r w:rsidRPr="00E26868">
              <w:t xml:space="preserve">, </w:t>
            </w:r>
            <w:proofErr w:type="spellStart"/>
            <w:r w:rsidRPr="00E26868">
              <w:t>полиуритановая</w:t>
            </w:r>
            <w:proofErr w:type="spellEnd"/>
            <w:r w:rsidRPr="00E26868">
              <w:t>. Тип протеза: постоянный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50" w:rsidRPr="005F32E1" w:rsidRDefault="00BD7F50" w:rsidP="00565D3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F32E1">
              <w:rPr>
                <w:color w:val="000000"/>
                <w:sz w:val="20"/>
                <w:szCs w:val="20"/>
              </w:rPr>
              <w:lastRenderedPageBreak/>
              <w:t xml:space="preserve">3 </w:t>
            </w:r>
          </w:p>
        </w:tc>
      </w:tr>
      <w:tr w:rsidR="00BD7F50" w:rsidRPr="006963D4" w:rsidTr="00565D3F">
        <w:tc>
          <w:tcPr>
            <w:tcW w:w="8755" w:type="dxa"/>
            <w:shd w:val="clear" w:color="auto" w:fill="auto"/>
            <w:vAlign w:val="center"/>
          </w:tcPr>
          <w:p w:rsidR="00BD7F50" w:rsidRPr="00F0039E" w:rsidRDefault="00BD7F50" w:rsidP="00565D3F">
            <w:pPr>
              <w:suppressLineNumbers/>
              <w:suppressAutoHyphens/>
              <w:snapToGrid w:val="0"/>
              <w:spacing w:after="0"/>
              <w:rPr>
                <w:rFonts w:eastAsia="Calibri"/>
                <w:b/>
                <w:sz w:val="22"/>
                <w:szCs w:val="22"/>
              </w:rPr>
            </w:pPr>
            <w:r w:rsidRPr="00623513">
              <w:rPr>
                <w:rFonts w:eastAsia="Calibri"/>
                <w:b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50" w:rsidRPr="002B6545" w:rsidRDefault="00BD7F50" w:rsidP="00565D3F">
            <w:pPr>
              <w:spacing w:after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46 </w:t>
            </w:r>
          </w:p>
        </w:tc>
      </w:tr>
    </w:tbl>
    <w:p w:rsidR="00BD7F50" w:rsidRPr="002140A6" w:rsidRDefault="00BD7F50" w:rsidP="00BD7F50">
      <w:pPr>
        <w:spacing w:after="0"/>
        <w:jc w:val="left"/>
        <w:rPr>
          <w:sz w:val="22"/>
          <w:szCs w:val="22"/>
        </w:rPr>
      </w:pPr>
    </w:p>
    <w:p w:rsidR="002B224B" w:rsidRDefault="002B224B"/>
    <w:sectPr w:rsidR="002B224B" w:rsidSect="00831062">
      <w:footerReference w:type="default" r:id="rId5"/>
      <w:footerReference w:type="first" r:id="rId6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634" w:rsidRDefault="0083106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634" w:rsidRDefault="00831062">
    <w:pPr>
      <w:pStyle w:val="a3"/>
      <w:jc w:val="center"/>
    </w:pPr>
  </w:p>
  <w:p w:rsidR="00D72634" w:rsidRDefault="0083106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E5681"/>
    <w:multiLevelType w:val="hybridMultilevel"/>
    <w:tmpl w:val="B29A5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67896"/>
    <w:multiLevelType w:val="hybridMultilevel"/>
    <w:tmpl w:val="CFAC9666"/>
    <w:lvl w:ilvl="0" w:tplc="0E4E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7D85A44"/>
    <w:multiLevelType w:val="hybridMultilevel"/>
    <w:tmpl w:val="773A71BE"/>
    <w:lvl w:ilvl="0" w:tplc="0E4E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50"/>
    <w:rsid w:val="002B224B"/>
    <w:rsid w:val="00831062"/>
    <w:rsid w:val="00BD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8E0D6-8549-4AA7-95A6-48DF6288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5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перед заголовком 2"/>
    <w:basedOn w:val="a"/>
    <w:next w:val="a"/>
    <w:link w:val="10"/>
    <w:qFormat/>
    <w:rsid w:val="00BD7F50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перед заголовком 2 Знак"/>
    <w:basedOn w:val="a0"/>
    <w:link w:val="1"/>
    <w:rsid w:val="00BD7F50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3">
    <w:name w:val="footer"/>
    <w:basedOn w:val="a"/>
    <w:link w:val="a4"/>
    <w:uiPriority w:val="99"/>
    <w:rsid w:val="00BD7F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D7F5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Нумерованый список,Bullet List,FooterText,numbered,SL_Абзац списка"/>
    <w:basedOn w:val="a"/>
    <w:link w:val="a6"/>
    <w:qFormat/>
    <w:rsid w:val="00BD7F50"/>
    <w:pPr>
      <w:spacing w:after="0"/>
      <w:ind w:left="708"/>
      <w:jc w:val="left"/>
    </w:pPr>
  </w:style>
  <w:style w:type="character" w:customStyle="1" w:styleId="a6">
    <w:name w:val="Абзац списка Знак"/>
    <w:aliases w:val="Нумерованый список Знак,Bullet List Знак,FooterText Знак,numbered Знак,SL_Абзац списка Знак"/>
    <w:link w:val="a5"/>
    <w:rsid w:val="00BD7F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Городилова Виктория Михайловна</dc:creator>
  <cp:keywords/>
  <dc:description/>
  <cp:lastModifiedBy>Городилова Виктория Михайловна</cp:lastModifiedBy>
  <cp:revision>2</cp:revision>
  <dcterms:created xsi:type="dcterms:W3CDTF">2023-10-09T14:05:00Z</dcterms:created>
  <dcterms:modified xsi:type="dcterms:W3CDTF">2023-10-09T14:27:00Z</dcterms:modified>
</cp:coreProperties>
</file>