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BA19FC" w:rsidRDefault="001179FB" w:rsidP="00BA19FC">
      <w:pPr>
        <w:pStyle w:val="Style8"/>
        <w:widowControl/>
        <w:spacing w:before="67"/>
        <w:jc w:val="center"/>
        <w:rPr>
          <w:rStyle w:val="FontStyle64"/>
        </w:rPr>
        <w:sectPr w:rsidR="00BA19FC" w:rsidSect="00C36DDD">
          <w:headerReference w:type="even" r:id="rId11"/>
          <w:headerReference w:type="default" r:id="rId12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  <w:r>
        <w:rPr>
          <w:rStyle w:val="FontStyle64"/>
        </w:rPr>
        <w:lastRenderedPageBreak/>
        <w:t>Техническое задание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lastRenderedPageBreak/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9857F2" w:rsidRDefault="00BA19FC" w:rsidP="00033514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033514" w:rsidRPr="005D75CF">
        <w:rPr>
          <w:sz w:val="26"/>
          <w:szCs w:val="26"/>
        </w:rPr>
        <w:t>по санаторно-курортному лечению детей-инвалидов, имеющих право на получение государственной социальной помощи в виде набора социальных услуг по профилям: «Болезни системы кровообращения»,</w:t>
      </w:r>
      <w:r w:rsidR="00033514" w:rsidRPr="005D75CF">
        <w:rPr>
          <w:bCs/>
          <w:sz w:val="26"/>
          <w:szCs w:val="26"/>
        </w:rPr>
        <w:t xml:space="preserve"> «Болезни костно-мышечной системы и соединительной ткани»</w:t>
      </w:r>
      <w:r w:rsidR="00033514" w:rsidRPr="005D75CF">
        <w:rPr>
          <w:sz w:val="26"/>
          <w:szCs w:val="26"/>
        </w:rPr>
        <w:t>, «Болезни органов дыхания», «Болезни нервной системы» и сопровождающих их лиц</w:t>
      </w:r>
      <w:r w:rsidR="00033514" w:rsidRPr="00A15FE2">
        <w:rPr>
          <w:sz w:val="26"/>
          <w:szCs w:val="26"/>
        </w:rPr>
        <w:t>.</w:t>
      </w:r>
    </w:p>
    <w:p w:rsidR="00137F04" w:rsidRPr="00C02EF4" w:rsidRDefault="00137F04" w:rsidP="00137F04">
      <w:pPr>
        <w:pStyle w:val="Style15"/>
        <w:widowControl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033514" w:rsidRPr="00137F04" w:rsidRDefault="00033514" w:rsidP="00033514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>КОЗ - 02.35.21.0</w:t>
      </w:r>
      <w:r>
        <w:rPr>
          <w:rFonts w:eastAsia="TimesNewRomanPSMT"/>
          <w:color w:val="000000"/>
          <w:sz w:val="26"/>
          <w:szCs w:val="26"/>
        </w:rPr>
        <w:t>2</w:t>
      </w:r>
      <w:r w:rsidRPr="00C02EF4">
        <w:rPr>
          <w:rFonts w:eastAsia="TimesNewRomanPSMT"/>
          <w:color w:val="000000"/>
          <w:sz w:val="26"/>
          <w:szCs w:val="26"/>
        </w:rPr>
        <w:t xml:space="preserve">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033514" w:rsidRPr="00296E69" w:rsidRDefault="00033514" w:rsidP="00033514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033514" w:rsidRPr="00433F34" w:rsidRDefault="00033514" w:rsidP="00033514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</w:t>
      </w:r>
      <w:r>
        <w:rPr>
          <w:sz w:val="26"/>
          <w:szCs w:val="26"/>
        </w:rPr>
        <w:t>влением»;</w:t>
      </w:r>
    </w:p>
    <w:p w:rsidR="00033514" w:rsidRPr="00F92F44" w:rsidRDefault="00033514" w:rsidP="00033514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033514" w:rsidRDefault="00033514" w:rsidP="00033514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</w:t>
      </w:r>
      <w:r>
        <w:rPr>
          <w:color w:val="000000"/>
          <w:sz w:val="26"/>
          <w:szCs w:val="26"/>
          <w:lang w:eastAsia="ru-RU"/>
        </w:rPr>
        <w:t>)»;</w:t>
      </w:r>
    </w:p>
    <w:p w:rsidR="00033514" w:rsidRPr="00BD51E1" w:rsidRDefault="00033514" w:rsidP="00033514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- </w:t>
      </w:r>
      <w:r w:rsidRPr="00033149">
        <w:rPr>
          <w:color w:val="000000"/>
          <w:sz w:val="26"/>
          <w:szCs w:val="26"/>
        </w:rPr>
        <w:t>№ 212 от 22.11.2004 г. «Об утверждении стандарта санаторно-курортной помощи больн</w:t>
      </w:r>
      <w:r>
        <w:rPr>
          <w:color w:val="000000"/>
          <w:sz w:val="26"/>
          <w:szCs w:val="26"/>
        </w:rPr>
        <w:t>ым с болезнями органов дыхания»;</w:t>
      </w:r>
    </w:p>
    <w:p w:rsidR="00033514" w:rsidRPr="00947058" w:rsidRDefault="00033514" w:rsidP="00033514">
      <w:pPr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 w:rsidRPr="00947058">
        <w:rPr>
          <w:sz w:val="26"/>
          <w:szCs w:val="26"/>
          <w:lang w:eastAsia="ru-RU"/>
        </w:rPr>
        <w:t>- № 214 от 22.11.2004 г.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033514" w:rsidRPr="00947058" w:rsidRDefault="00033514" w:rsidP="00033514">
      <w:pPr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 w:rsidRPr="00947058"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033514" w:rsidRDefault="00033514" w:rsidP="00033514">
      <w:pPr>
        <w:autoSpaceDN w:val="0"/>
        <w:spacing w:line="240" w:lineRule="auto"/>
        <w:ind w:firstLine="692"/>
        <w:rPr>
          <w:rFonts w:eastAsia="Lucida Sans Unicode"/>
          <w:bCs/>
          <w:kern w:val="2"/>
          <w:sz w:val="26"/>
          <w:szCs w:val="26"/>
          <w:lang w:eastAsia="ru-RU"/>
        </w:rPr>
      </w:pPr>
      <w:r w:rsidRPr="00947058">
        <w:rPr>
          <w:sz w:val="26"/>
          <w:szCs w:val="26"/>
          <w:lang w:eastAsia="ru-RU"/>
        </w:rPr>
        <w:lastRenderedPageBreak/>
        <w:t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sz w:val="26"/>
          <w:szCs w:val="26"/>
          <w:lang w:eastAsia="ru-RU"/>
        </w:rPr>
        <w:t xml:space="preserve"> соматоформными расстройствами».</w:t>
      </w:r>
      <w:r w:rsidRPr="0070030C">
        <w:rPr>
          <w:rFonts w:eastAsia="Lucida Sans Unicode"/>
          <w:bCs/>
          <w:kern w:val="2"/>
          <w:sz w:val="26"/>
          <w:szCs w:val="26"/>
          <w:lang w:eastAsia="ru-RU"/>
        </w:rPr>
        <w:t xml:space="preserve"> 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5A7EEA" w:rsidRPr="00554F40">
        <w:rPr>
          <w:b/>
          <w:sz w:val="26"/>
          <w:szCs w:val="26"/>
        </w:rPr>
        <w:t>«Болезни системы кровообращения»,</w:t>
      </w:r>
      <w:r w:rsidR="005A7EEA" w:rsidRPr="00554F40">
        <w:rPr>
          <w:b/>
          <w:bCs/>
          <w:sz w:val="26"/>
          <w:szCs w:val="26"/>
        </w:rPr>
        <w:t xml:space="preserve"> «Болезни костно-мышечной системы и соединительной ткани»</w:t>
      </w:r>
      <w:r w:rsidR="005A7EEA" w:rsidRPr="00554F40">
        <w:rPr>
          <w:b/>
          <w:sz w:val="26"/>
          <w:szCs w:val="26"/>
        </w:rPr>
        <w:t>, «Болезни органов дыхания», «Болезни нервной системы»</w:t>
      </w:r>
      <w:r w:rsidR="003B0DB3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5A7EEA" w:rsidRPr="00554F40">
        <w:rPr>
          <w:b/>
          <w:sz w:val="26"/>
          <w:szCs w:val="26"/>
        </w:rPr>
        <w:t>«кардиология», «травматология и ортопедия», «пульмонология», «неврология», «педиатрия»</w:t>
      </w:r>
      <w:r w:rsidR="00A15FE2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</w:t>
      </w:r>
      <w:r w:rsidR="005A7EEA">
        <w:rPr>
          <w:rFonts w:eastAsia="Lucida Sans Unicode"/>
          <w:kern w:val="3"/>
          <w:sz w:val="26"/>
          <w:szCs w:val="26"/>
          <w:lang w:eastAsia="ru-RU" w:bidi="hi-IN"/>
        </w:rPr>
        <w:t xml:space="preserve"> в виде набора социальных услуг</w:t>
      </w: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 xml:space="preserve">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lastRenderedPageBreak/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</w:t>
      </w:r>
      <w:bookmarkStart w:id="0" w:name="_GoBack"/>
      <w:bookmarkEnd w:id="0"/>
      <w:r w:rsidRPr="0078537D">
        <w:rPr>
          <w:sz w:val="26"/>
          <w:szCs w:val="26"/>
        </w:rPr>
        <w:t>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5A7EEA" w:rsidRDefault="00BA19FC" w:rsidP="005A7EEA">
      <w:pPr>
        <w:pStyle w:val="11"/>
        <w:ind w:firstLine="709"/>
        <w:rPr>
          <w:color w:val="000000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5A7EEA">
        <w:rPr>
          <w:color w:val="000000"/>
          <w:sz w:val="26"/>
          <w:szCs w:val="26"/>
        </w:rPr>
        <w:t>1260</w:t>
      </w:r>
      <w:r w:rsidR="005A7EEA" w:rsidRPr="009B6B3F">
        <w:rPr>
          <w:color w:val="000000"/>
          <w:sz w:val="26"/>
          <w:szCs w:val="26"/>
        </w:rPr>
        <w:t xml:space="preserve"> (</w:t>
      </w:r>
      <w:r w:rsidR="005A7EEA">
        <w:rPr>
          <w:color w:val="000000"/>
          <w:sz w:val="26"/>
          <w:szCs w:val="26"/>
        </w:rPr>
        <w:t>одна тысяча двести шестьдесят).</w:t>
      </w:r>
    </w:p>
    <w:p w:rsidR="005A7EEA" w:rsidRPr="00BB4F51" w:rsidRDefault="00BA19FC" w:rsidP="005A7EEA">
      <w:pPr>
        <w:spacing w:line="240" w:lineRule="auto"/>
        <w:ind w:left="709" w:firstLine="0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 xml:space="preserve">- </w:t>
      </w:r>
      <w:r w:rsidR="005A7EEA">
        <w:rPr>
          <w:sz w:val="26"/>
          <w:szCs w:val="26"/>
        </w:rPr>
        <w:t>21</w:t>
      </w:r>
      <w:r w:rsidR="005A7EEA" w:rsidRPr="00BB4F51">
        <w:rPr>
          <w:sz w:val="26"/>
          <w:szCs w:val="26"/>
        </w:rPr>
        <w:t xml:space="preserve"> койко-д</w:t>
      </w:r>
      <w:r w:rsidR="005A7EEA">
        <w:rPr>
          <w:sz w:val="26"/>
          <w:szCs w:val="26"/>
        </w:rPr>
        <w:t>ень</w:t>
      </w:r>
      <w:r w:rsidR="005A7EEA" w:rsidRPr="00BB4F51">
        <w:rPr>
          <w:sz w:val="26"/>
          <w:szCs w:val="26"/>
        </w:rPr>
        <w:t>.</w:t>
      </w:r>
    </w:p>
    <w:p w:rsidR="00B03115" w:rsidRPr="00AA1279" w:rsidRDefault="00BA19FC" w:rsidP="005A7EEA">
      <w:pPr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8847A7">
        <w:rPr>
          <w:sz w:val="26"/>
          <w:szCs w:val="26"/>
        </w:rPr>
        <w:t>Дальневосточный федеральный округ.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="005A7EEA" w:rsidRPr="00554F40">
        <w:rPr>
          <w:b/>
          <w:sz w:val="26"/>
          <w:szCs w:val="26"/>
        </w:rPr>
        <w:t>не позднее 01 ноября 2022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C53B71" w:rsidRDefault="00C53B71" w:rsidP="008C6895">
      <w:pPr>
        <w:pStyle w:val="Style8"/>
        <w:widowControl/>
        <w:spacing w:before="67"/>
        <w:jc w:val="center"/>
        <w:rPr>
          <w:rStyle w:val="FontStyle64"/>
        </w:rPr>
      </w:pPr>
      <w:r>
        <w:rPr>
          <w:rStyle w:val="FontStyle64"/>
        </w:rPr>
        <w:lastRenderedPageBreak/>
        <w:t>Раздел IV. Инструкция по заполнению заявки участником Аукциона</w:t>
      </w:r>
    </w:p>
    <w:p w:rsidR="00D45B76" w:rsidRDefault="00D45B76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45B76" w:rsidRDefault="00D45B76" w:rsidP="00D65899">
      <w:pPr>
        <w:pStyle w:val="Style9"/>
        <w:widowControl/>
        <w:spacing w:line="276" w:lineRule="auto"/>
        <w:jc w:val="both"/>
        <w:rPr>
          <w:rStyle w:val="FontStyle65"/>
        </w:rPr>
      </w:pPr>
    </w:p>
    <w:p w:rsidR="00D65899" w:rsidRPr="008F46A9" w:rsidRDefault="00D65899" w:rsidP="00007B8E">
      <w:pPr>
        <w:spacing w:line="240" w:lineRule="auto"/>
        <w:ind w:firstLine="709"/>
        <w:rPr>
          <w:color w:val="000000"/>
          <w:spacing w:val="3"/>
          <w:sz w:val="26"/>
          <w:szCs w:val="26"/>
        </w:rPr>
      </w:pPr>
      <w:r w:rsidRPr="008F46A9">
        <w:rPr>
          <w:color w:val="000000"/>
          <w:spacing w:val="3"/>
          <w:sz w:val="26"/>
          <w:szCs w:val="26"/>
        </w:rPr>
        <w:t xml:space="preserve">Заявка на участие в Аукционе, все документы, относящиеся к заявке, составляются на русском языке. </w:t>
      </w:r>
    </w:p>
    <w:p w:rsidR="00C5112C" w:rsidRDefault="00C5112C" w:rsidP="00007B8E">
      <w:pPr>
        <w:shd w:val="clear" w:color="auto" w:fill="FFFFFF"/>
        <w:spacing w:line="240" w:lineRule="auto"/>
        <w:ind w:right="23" w:firstLine="709"/>
        <w:rPr>
          <w:b/>
          <w:sz w:val="26"/>
          <w:szCs w:val="26"/>
          <w:lang w:bidi="ru-RU"/>
        </w:rPr>
      </w:pPr>
    </w:p>
    <w:p w:rsidR="00D65899" w:rsidRPr="001C0D9E" w:rsidRDefault="00D65899" w:rsidP="00007B8E">
      <w:pPr>
        <w:shd w:val="clear" w:color="auto" w:fill="FFFFFF"/>
        <w:spacing w:line="240" w:lineRule="auto"/>
        <w:ind w:right="23" w:firstLine="709"/>
        <w:rPr>
          <w:b/>
          <w:sz w:val="26"/>
          <w:szCs w:val="26"/>
          <w:lang w:bidi="ru-RU"/>
        </w:rPr>
      </w:pPr>
      <w:r w:rsidRPr="001C0D9E">
        <w:rPr>
          <w:b/>
          <w:sz w:val="26"/>
          <w:szCs w:val="26"/>
          <w:lang w:bidi="ru-RU"/>
        </w:rPr>
        <w:t>Первая часть заявки на участие в Аукционе должна содержать:</w:t>
      </w:r>
    </w:p>
    <w:p w:rsidR="00D65899" w:rsidRPr="001C0D9E" w:rsidRDefault="00D65899" w:rsidP="00007B8E">
      <w:pPr>
        <w:shd w:val="clear" w:color="auto" w:fill="FFFFFF"/>
        <w:spacing w:line="240" w:lineRule="auto"/>
        <w:ind w:right="23" w:firstLine="709"/>
        <w:rPr>
          <w:sz w:val="26"/>
          <w:szCs w:val="26"/>
          <w:lang w:bidi="ru-RU"/>
        </w:rPr>
      </w:pPr>
      <w:r w:rsidRPr="001C0D9E">
        <w:rPr>
          <w:sz w:val="26"/>
          <w:szCs w:val="26"/>
          <w:lang w:bidi="ru-RU"/>
        </w:rPr>
        <w:t xml:space="preserve">-  </w:t>
      </w:r>
      <w:r w:rsidRPr="001C0D9E">
        <w:rPr>
          <w:bCs/>
          <w:sz w:val="26"/>
          <w:szCs w:val="26"/>
          <w:lang w:bidi="ru-RU"/>
        </w:rPr>
        <w:t>согласие участника Аукциона на оказание услуг на условиях, предусмотренных документацией об Аукционе и не подлежащих изменению по результатам проведения электронного аукциона (</w:t>
      </w:r>
      <w:r w:rsidRPr="001C0D9E">
        <w:rPr>
          <w:bCs/>
          <w:i/>
          <w:sz w:val="26"/>
          <w:szCs w:val="26"/>
          <w:lang w:bidi="ru-RU"/>
        </w:rPr>
        <w:t>такое согласие дается с применением программно-аппаратных средств электронной площадки</w:t>
      </w:r>
      <w:r w:rsidRPr="001C0D9E">
        <w:rPr>
          <w:bCs/>
          <w:sz w:val="26"/>
          <w:szCs w:val="26"/>
          <w:lang w:bidi="ru-RU"/>
        </w:rPr>
        <w:t>).</w:t>
      </w:r>
    </w:p>
    <w:p w:rsidR="00D65899" w:rsidRDefault="00D65899" w:rsidP="00007B8E">
      <w:pPr>
        <w:pStyle w:val="Standard"/>
        <w:ind w:firstLine="709"/>
        <w:rPr>
          <w:b/>
          <w:bCs/>
          <w:i/>
          <w:iCs/>
          <w:sz w:val="26"/>
          <w:szCs w:val="26"/>
        </w:rPr>
      </w:pPr>
    </w:p>
    <w:p w:rsidR="00796F09" w:rsidRPr="001C0D9E" w:rsidRDefault="00796F09" w:rsidP="00007B8E">
      <w:pPr>
        <w:pStyle w:val="Standard"/>
        <w:ind w:firstLine="709"/>
        <w:rPr>
          <w:b/>
          <w:bCs/>
          <w:i/>
          <w:iCs/>
          <w:sz w:val="26"/>
          <w:szCs w:val="26"/>
        </w:rPr>
      </w:pPr>
    </w:p>
    <w:p w:rsidR="00D65899" w:rsidRPr="001C0D9E" w:rsidRDefault="00D65899" w:rsidP="00007B8E">
      <w:pPr>
        <w:pStyle w:val="Standard"/>
        <w:jc w:val="center"/>
        <w:rPr>
          <w:b/>
          <w:bCs/>
          <w:i/>
          <w:iCs/>
          <w:sz w:val="26"/>
          <w:szCs w:val="26"/>
        </w:rPr>
      </w:pPr>
      <w:r w:rsidRPr="001C0D9E">
        <w:rPr>
          <w:b/>
          <w:bCs/>
          <w:i/>
          <w:iCs/>
          <w:sz w:val="26"/>
          <w:szCs w:val="26"/>
        </w:rPr>
        <w:t xml:space="preserve">РЕКОМЕНДУЕМАЯ ФОРМА ПЕРВОЙ ЧАСТИ ЗАЯВКИ НА УЧАСТИЕ </w:t>
      </w:r>
    </w:p>
    <w:p w:rsidR="00D65899" w:rsidRPr="001C0D9E" w:rsidRDefault="00D65899" w:rsidP="00007B8E">
      <w:pPr>
        <w:pStyle w:val="Standard"/>
        <w:jc w:val="center"/>
        <w:rPr>
          <w:b/>
          <w:bCs/>
          <w:i/>
          <w:iCs/>
          <w:sz w:val="26"/>
          <w:szCs w:val="26"/>
        </w:rPr>
      </w:pPr>
      <w:r w:rsidRPr="001C0D9E">
        <w:rPr>
          <w:b/>
          <w:bCs/>
          <w:i/>
          <w:iCs/>
          <w:sz w:val="26"/>
          <w:szCs w:val="26"/>
        </w:rPr>
        <w:t>В АУКЦИОНЕ</w:t>
      </w:r>
    </w:p>
    <w:p w:rsidR="00D65899" w:rsidRPr="001C0D9E" w:rsidRDefault="00D65899" w:rsidP="00007B8E">
      <w:pPr>
        <w:pStyle w:val="Standard"/>
        <w:tabs>
          <w:tab w:val="left" w:pos="3777"/>
        </w:tabs>
        <w:ind w:firstLine="709"/>
        <w:rPr>
          <w:bCs/>
          <w:sz w:val="26"/>
          <w:szCs w:val="26"/>
        </w:rPr>
      </w:pPr>
    </w:p>
    <w:p w:rsidR="00D65899" w:rsidRPr="004B3446" w:rsidRDefault="00D65899" w:rsidP="00007B8E">
      <w:pPr>
        <w:spacing w:line="240" w:lineRule="auto"/>
        <w:rPr>
          <w:bCs/>
          <w:sz w:val="26"/>
          <w:szCs w:val="26"/>
        </w:rPr>
      </w:pPr>
      <w:r w:rsidRPr="001C0D9E">
        <w:rPr>
          <w:bCs/>
          <w:sz w:val="26"/>
          <w:szCs w:val="26"/>
        </w:rPr>
        <w:t xml:space="preserve">Изучив документацию об аукционе, а также применимые к данному </w:t>
      </w:r>
      <w:r w:rsidRPr="001C0D9E">
        <w:rPr>
          <w:sz w:val="26"/>
          <w:szCs w:val="26"/>
        </w:rPr>
        <w:t>аукциону</w:t>
      </w:r>
      <w:r w:rsidRPr="001C0D9E">
        <w:rPr>
          <w:bCs/>
          <w:sz w:val="26"/>
          <w:szCs w:val="26"/>
        </w:rPr>
        <w:t xml:space="preserve"> законодательство и нормативно-правовые акты, мы согласны </w:t>
      </w:r>
      <w:r w:rsidR="00B03115" w:rsidRPr="001C0D9E">
        <w:rPr>
          <w:b/>
          <w:sz w:val="26"/>
          <w:szCs w:val="26"/>
        </w:rPr>
        <w:t xml:space="preserve">оказать услуги </w:t>
      </w:r>
      <w:r w:rsidR="005A7EEA" w:rsidRPr="002A2508">
        <w:rPr>
          <w:b/>
          <w:sz w:val="26"/>
          <w:szCs w:val="26"/>
        </w:rPr>
        <w:t>по санаторно-курортному лечению детей-инвалидов, имеющих право на получение государственной социальной помощи в виде набора социальных услуг по профилям: «Болезни системы кровообращения»,</w:t>
      </w:r>
      <w:r w:rsidR="005A7EEA" w:rsidRPr="002A2508">
        <w:rPr>
          <w:b/>
          <w:bCs/>
          <w:sz w:val="26"/>
          <w:szCs w:val="26"/>
        </w:rPr>
        <w:t xml:space="preserve"> «Болезни костно-мышечной системы и соединительной ткани»</w:t>
      </w:r>
      <w:r w:rsidR="005A7EEA" w:rsidRPr="002A2508">
        <w:rPr>
          <w:b/>
          <w:sz w:val="26"/>
          <w:szCs w:val="26"/>
        </w:rPr>
        <w:t>, «Болезни органов дыхания», «Болезни нервной системы» и сопровождающих их лиц</w:t>
      </w:r>
      <w:r w:rsidR="005A7EEA">
        <w:rPr>
          <w:b/>
          <w:sz w:val="26"/>
          <w:szCs w:val="26"/>
        </w:rPr>
        <w:t xml:space="preserve"> </w:t>
      </w:r>
      <w:r w:rsidRPr="001C0D9E">
        <w:rPr>
          <w:sz w:val="26"/>
          <w:szCs w:val="26"/>
        </w:rPr>
        <w:t xml:space="preserve">на условиях, предусмотренных документацией об аукционе, включая требования, содержащиеся в Разделе </w:t>
      </w:r>
      <w:r w:rsidRPr="001C0D9E">
        <w:rPr>
          <w:sz w:val="26"/>
          <w:szCs w:val="26"/>
          <w:lang w:val="en-US"/>
        </w:rPr>
        <w:t>III</w:t>
      </w:r>
      <w:r w:rsidRPr="001C0D9E">
        <w:rPr>
          <w:sz w:val="26"/>
          <w:szCs w:val="26"/>
        </w:rPr>
        <w:t xml:space="preserve"> документации об аукционе.</w:t>
      </w:r>
    </w:p>
    <w:p w:rsidR="00D65899" w:rsidRPr="001C0D9E" w:rsidRDefault="00D65899" w:rsidP="00D65899">
      <w:pPr>
        <w:pStyle w:val="22"/>
        <w:tabs>
          <w:tab w:val="left" w:pos="4292"/>
        </w:tabs>
        <w:spacing w:after="0" w:line="276" w:lineRule="auto"/>
        <w:ind w:firstLine="709"/>
        <w:rPr>
          <w:i/>
          <w:iCs/>
          <w:sz w:val="26"/>
          <w:szCs w:val="26"/>
        </w:rPr>
      </w:pPr>
    </w:p>
    <w:p w:rsidR="00D65899" w:rsidRPr="001C0D9E" w:rsidRDefault="00D65899" w:rsidP="00D65899">
      <w:pPr>
        <w:pStyle w:val="22"/>
        <w:tabs>
          <w:tab w:val="left" w:pos="4292"/>
        </w:tabs>
        <w:spacing w:after="0" w:line="276" w:lineRule="auto"/>
        <w:ind w:firstLine="709"/>
        <w:rPr>
          <w:i/>
          <w:iCs/>
          <w:sz w:val="26"/>
          <w:szCs w:val="26"/>
        </w:rPr>
      </w:pPr>
      <w:r w:rsidRPr="001C0D9E">
        <w:rPr>
          <w:i/>
          <w:iCs/>
          <w:sz w:val="26"/>
          <w:szCs w:val="26"/>
        </w:rPr>
        <w:t xml:space="preserve">Участник аукциона может выразить свое согласие в произвольной форме. </w:t>
      </w:r>
    </w:p>
    <w:p w:rsidR="00D45B76" w:rsidRDefault="00D45B76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45B76" w:rsidRDefault="00D45B76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D65899" w:rsidRDefault="00D65899">
      <w:pPr>
        <w:pStyle w:val="Style9"/>
        <w:widowControl/>
        <w:spacing w:before="53" w:line="245" w:lineRule="exact"/>
        <w:ind w:left="5242"/>
        <w:rPr>
          <w:rStyle w:val="FontStyle65"/>
        </w:rPr>
      </w:pPr>
    </w:p>
    <w:p w:rsidR="00532404" w:rsidRDefault="00532404" w:rsidP="00BA19FC">
      <w:pPr>
        <w:pStyle w:val="Style9"/>
        <w:widowControl/>
        <w:spacing w:before="53" w:line="245" w:lineRule="exact"/>
        <w:ind w:left="5242"/>
        <w:rPr>
          <w:rStyle w:val="FontStyle67"/>
        </w:rPr>
      </w:pPr>
    </w:p>
    <w:sectPr w:rsidR="00532404" w:rsidSect="00C36DDD">
      <w:headerReference w:type="even" r:id="rId13"/>
      <w:headerReference w:type="default" r:id="rId14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FA" w:rsidRDefault="007510FA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7510FA" w:rsidRDefault="007510FA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FA" w:rsidRDefault="007510FA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7510FA" w:rsidRDefault="007510FA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A" w:rsidRDefault="007510FA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A" w:rsidRDefault="007510FA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A" w:rsidRDefault="007510FA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7510FA" w:rsidRDefault="007510FA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A" w:rsidRPr="00A66F3C" w:rsidRDefault="007510FA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7510FA" w:rsidRDefault="007510FA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A" w:rsidRPr="008C6895" w:rsidRDefault="007510FA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1179FB">
      <w:rPr>
        <w:rFonts w:ascii="Times New Roman" w:hAnsi="Times New Roman"/>
        <w:noProof/>
      </w:rPr>
      <w:t>21</w:t>
    </w:r>
    <w:r w:rsidRPr="008C6895">
      <w:rPr>
        <w:rFonts w:ascii="Times New Roman" w:hAnsi="Times New Roman"/>
      </w:rPr>
      <w:fldChar w:fldCharType="end"/>
    </w:r>
  </w:p>
  <w:p w:rsidR="007510FA" w:rsidRDefault="007510FA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A" w:rsidRDefault="007510FA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A" w:rsidRPr="008C6895" w:rsidRDefault="007510FA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1179FB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51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882"/>
    <w:rsid w:val="000D4DED"/>
    <w:rsid w:val="000D654F"/>
    <w:rsid w:val="000F0254"/>
    <w:rsid w:val="000F3BC1"/>
    <w:rsid w:val="000F45E7"/>
    <w:rsid w:val="000F6146"/>
    <w:rsid w:val="000F72DA"/>
    <w:rsid w:val="00101070"/>
    <w:rsid w:val="0010490D"/>
    <w:rsid w:val="00114DBE"/>
    <w:rsid w:val="00117350"/>
    <w:rsid w:val="001179FB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73A1E"/>
    <w:rsid w:val="0029065F"/>
    <w:rsid w:val="002922BE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3587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4F40"/>
    <w:rsid w:val="00556E12"/>
    <w:rsid w:val="005709F8"/>
    <w:rsid w:val="00570F29"/>
    <w:rsid w:val="0057183E"/>
    <w:rsid w:val="00585F5F"/>
    <w:rsid w:val="00587D7B"/>
    <w:rsid w:val="00595556"/>
    <w:rsid w:val="005A14AD"/>
    <w:rsid w:val="005A4773"/>
    <w:rsid w:val="005A7EEA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10FA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02BF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CF6D5D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0654"/>
    <w:rsid w:val="00E81170"/>
    <w:rsid w:val="00EA710D"/>
    <w:rsid w:val="00EB19A5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AD45-0AE5-4ABC-8DA2-BC6254F5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285</cp:revision>
  <cp:lastPrinted>2021-12-07T05:55:00Z</cp:lastPrinted>
  <dcterms:created xsi:type="dcterms:W3CDTF">2018-07-06T05:09:00Z</dcterms:created>
  <dcterms:modified xsi:type="dcterms:W3CDTF">2021-12-14T23:03:00Z</dcterms:modified>
</cp:coreProperties>
</file>