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50" w:rsidRDefault="00FB33BA" w:rsidP="00FB33BA">
      <w:pPr>
        <w:keepNext/>
        <w:tabs>
          <w:tab w:val="left" w:pos="0"/>
          <w:tab w:val="left" w:pos="432"/>
        </w:tabs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Техническое задание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276"/>
        <w:gridCol w:w="851"/>
      </w:tblGrid>
      <w:tr w:rsidR="0076241E" w:rsidRPr="00FB33BA" w:rsidTr="009D6B00">
        <w:trPr>
          <w:trHeight w:val="275"/>
        </w:trPr>
        <w:tc>
          <w:tcPr>
            <w:tcW w:w="10065" w:type="dxa"/>
            <w:gridSpan w:val="4"/>
          </w:tcPr>
          <w:p w:rsidR="0076241E" w:rsidRPr="00FB33BA" w:rsidRDefault="0076241E" w:rsidP="00FB33BA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76241E" w:rsidRPr="00FB33BA" w:rsidTr="009D6B00">
        <w:trPr>
          <w:trHeight w:val="450"/>
        </w:trPr>
        <w:tc>
          <w:tcPr>
            <w:tcW w:w="1701" w:type="dxa"/>
            <w:shd w:val="clear" w:color="auto" w:fill="auto"/>
            <w:vAlign w:val="center"/>
          </w:tcPr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</w:t>
            </w:r>
          </w:p>
        </w:tc>
        <w:tc>
          <w:tcPr>
            <w:tcW w:w="6237" w:type="dxa"/>
            <w:shd w:val="clear" w:color="auto" w:fill="auto"/>
          </w:tcPr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>Наименование характеристик</w:t>
            </w:r>
          </w:p>
        </w:tc>
        <w:tc>
          <w:tcPr>
            <w:tcW w:w="1276" w:type="dxa"/>
            <w:shd w:val="clear" w:color="auto" w:fill="auto"/>
          </w:tcPr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851" w:type="dxa"/>
            <w:shd w:val="clear" w:color="auto" w:fill="auto"/>
          </w:tcPr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76241E" w:rsidRPr="00FB33BA" w:rsidTr="009D6B00">
        <w:trPr>
          <w:trHeight w:val="282"/>
        </w:trPr>
        <w:tc>
          <w:tcPr>
            <w:tcW w:w="1701" w:type="dxa"/>
            <w:shd w:val="clear" w:color="auto" w:fill="auto"/>
          </w:tcPr>
          <w:p w:rsidR="0076241E" w:rsidRPr="00FB33BA" w:rsidRDefault="0076241E" w:rsidP="00B9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>Протез бедра модульн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 с микропроцессорным управлением</w:t>
            </w:r>
          </w:p>
        </w:tc>
        <w:tc>
          <w:tcPr>
            <w:tcW w:w="6237" w:type="dxa"/>
            <w:shd w:val="clear" w:color="auto" w:fill="auto"/>
          </w:tcPr>
          <w:p w:rsidR="0076241E" w:rsidRPr="00FB33BA" w:rsidRDefault="0076241E" w:rsidP="00B919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c микропроцессорным управлением с несущей гильзой, индивидуального изготовления по слепку из углепластика из углепластика на основе </w:t>
            </w:r>
            <w:proofErr w:type="spellStart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>ортокриловых</w:t>
            </w:r>
            <w:proofErr w:type="spellEnd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 xml:space="preserve"> смол, </w:t>
            </w:r>
            <w:proofErr w:type="spellStart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>скелетированная</w:t>
            </w:r>
            <w:proofErr w:type="spellEnd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 xml:space="preserve">, вкладная гильза из эластичного пластика (две пробные гильзы из термопластика). Интегрированная в приёмную гильзу система изменения объёмных размеров. Крепление протеза полимерным чехлом с использованием двухточечной, ременной системы. Регулировочно-соединительное устройство соответствуют весовым и нагрузочным параметрам пациента. Микропроцессорный коленный модуль с внешним источником энергии одноосный, с гидроцилиндром, отвечающим за автоматически подстраиваемый темп ходьбы и обеспечивающий в автоматическом режиме устойчивость, с микропроцессорным управлением фазами переноса и опоры. Обладает повышенной влагостойкостью, не ниже класса защиты IP 67. Смещенный центр тяжести. Угол сгибания: не менее 125°. Время реакции микропроцессора не более 10 </w:t>
            </w:r>
            <w:proofErr w:type="spellStart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proofErr w:type="spellEnd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 xml:space="preserve">. Программирование коленного модуля осуществляется с помощью программы для ПК на русском языке. Внешний источник энергии – съемный, перезаряжаемый, литиевый аккумулятор. Возможность замены аккумулятора самостоятельно пользователем, непосредственно в протезе. Защита аккумулятора от попадания грязи и пыли. Запасной аккумулятор, зарядное устройство и зарядное устройство для аккумулятора с автомобильным адаптером, насос для активации спортивного режима и регулировки давления в </w:t>
            </w:r>
            <w:proofErr w:type="spellStart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>пневмокамере</w:t>
            </w:r>
            <w:proofErr w:type="spellEnd"/>
            <w:r w:rsidRPr="0076241E">
              <w:rPr>
                <w:rFonts w:ascii="Times New Roman" w:eastAsia="Times New Roman" w:hAnsi="Times New Roman" w:cs="Times New Roman"/>
                <w:lang w:eastAsia="ru-RU"/>
              </w:rPr>
              <w:t xml:space="preserve"> в комплекте. Возможность смены обтекателя. Стопа из углепластика с расщепленной носочной частью, отведенным большим пальцем, с интегрированным, торсионным устройством для амортизации вертикальных толчков и ротационных движений. Адаптация к неровной поверхности, снижение нагрузки на здоровую конечность.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Функциональные узлы протеза должны иметь конструктивно-технологическую завершенность. Косметическая оболочка из вспененного полиуретана, съёмная, предназначена для придания протезу формы, приближенной к фактуре естественной, сохраненной конечности пациента. Цвет телесный. Тип протеза постоянный.</w:t>
            </w:r>
          </w:p>
        </w:tc>
        <w:tc>
          <w:tcPr>
            <w:tcW w:w="1276" w:type="dxa"/>
            <w:shd w:val="clear" w:color="auto" w:fill="auto"/>
          </w:tcPr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76241E" w:rsidRPr="00FB33BA" w:rsidRDefault="0076241E" w:rsidP="00FB33B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3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B33BA" w:rsidRPr="00FB33BA" w:rsidRDefault="00FB33BA" w:rsidP="00FB33BA">
      <w:pPr>
        <w:autoSpaceDE w:val="0"/>
        <w:spacing w:after="0"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33BA" w:rsidRPr="00FB33BA" w:rsidRDefault="00FB33BA" w:rsidP="00FB33B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lang w:eastAsia="ru-RU"/>
        </w:rPr>
      </w:pPr>
      <w:r w:rsidRPr="00FB33BA">
        <w:rPr>
          <w:rFonts w:ascii="Times New Roman" w:eastAsia="Arial" w:hAnsi="Times New Roman" w:cs="Times New Roman"/>
          <w:b/>
          <w:lang w:eastAsia="ru-RU"/>
        </w:rPr>
        <w:t>Требование к качеству работ</w:t>
      </w:r>
    </w:p>
    <w:p w:rsidR="00A75B22" w:rsidRDefault="00BE0918" w:rsidP="00A7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0918">
        <w:rPr>
          <w:rFonts w:ascii="Times New Roman" w:eastAsia="Times New Roman" w:hAnsi="Times New Roman" w:cs="Times New Roman"/>
          <w:lang w:eastAsia="ru-RU"/>
        </w:rPr>
        <w:t xml:space="preserve">Протез бедра модульный </w:t>
      </w:r>
      <w:r w:rsidR="0044571E">
        <w:rPr>
          <w:rFonts w:ascii="Times New Roman" w:eastAsia="Times New Roman" w:hAnsi="Times New Roman" w:cs="Times New Roman"/>
          <w:lang w:eastAsia="ru-RU"/>
        </w:rPr>
        <w:t xml:space="preserve">с микропроцессорным управлением </w:t>
      </w:r>
      <w:r w:rsidRPr="00BE0918">
        <w:rPr>
          <w:rFonts w:ascii="Times New Roman" w:eastAsia="Times New Roman" w:hAnsi="Times New Roman" w:cs="Times New Roman"/>
          <w:lang w:eastAsia="ru-RU"/>
        </w:rPr>
        <w:t xml:space="preserve">должен соответствовать требованиям </w:t>
      </w:r>
      <w:r w:rsidRPr="0044571E">
        <w:rPr>
          <w:rFonts w:ascii="Times New Roman" w:eastAsia="Times New Roman" w:hAnsi="Times New Roman" w:cs="Times New Roman"/>
          <w:lang w:eastAsia="ru-RU"/>
        </w:rPr>
        <w:t>ГОСТ ISO 10993-1-2021, ГОСТ ISO 10993-5-2011, ГОСТ ISO 10993-10-2011, ГОСТ Р ИСО 22523-2007, ГОСТ Р 50267.0-92 (МЭК 601-1-88), ГОСТ Р МЭК 60601-1-2-2014, ГОСТ Р 51191-2019.</w:t>
      </w:r>
    </w:p>
    <w:p w:rsidR="00FB33BA" w:rsidRPr="00FB33BA" w:rsidRDefault="008A5C37" w:rsidP="00FB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Предоставление декларации о соответствии (при наличии)</w:t>
      </w:r>
      <w:r w:rsidR="00FB33BA" w:rsidRPr="00FB33BA">
        <w:rPr>
          <w:rFonts w:ascii="Times New Roman" w:eastAsia="Times New Roman" w:hAnsi="Times New Roman" w:cs="Times New Roman"/>
          <w:lang w:eastAsia="ru-RU"/>
        </w:rPr>
        <w:t>.</w:t>
      </w:r>
    </w:p>
    <w:p w:rsidR="00A47B35" w:rsidRPr="005F3319" w:rsidRDefault="00A73D2C" w:rsidP="003C4A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F3319">
        <w:rPr>
          <w:rFonts w:ascii="Times New Roman" w:hAnsi="Times New Roman" w:cs="Times New Roman"/>
          <w:b/>
        </w:rPr>
        <w:t xml:space="preserve">Срок выполнения работ: </w:t>
      </w:r>
      <w:r w:rsidR="00A47B35" w:rsidRPr="005F3319">
        <w:rPr>
          <w:rFonts w:ascii="Times New Roman" w:hAnsi="Times New Roman" w:cs="Times New Roman"/>
        </w:rPr>
        <w:t xml:space="preserve">Работы выполняются в срок, не превышающий </w:t>
      </w:r>
      <w:r w:rsidR="000E3D24" w:rsidRPr="005F3319">
        <w:rPr>
          <w:rFonts w:ascii="Times New Roman" w:hAnsi="Times New Roman" w:cs="Times New Roman"/>
        </w:rPr>
        <w:t>60</w:t>
      </w:r>
      <w:r w:rsidR="00A47B35" w:rsidRPr="005F3319">
        <w:rPr>
          <w:rFonts w:ascii="Times New Roman" w:hAnsi="Times New Roman" w:cs="Times New Roman"/>
        </w:rPr>
        <w:t xml:space="preserve"> календарных дней с момента обращения Получателя с направлением к Исполнителю, но не позднее </w:t>
      </w:r>
      <w:r w:rsidR="0076241E">
        <w:rPr>
          <w:rFonts w:ascii="Times New Roman" w:hAnsi="Times New Roman" w:cs="Times New Roman"/>
        </w:rPr>
        <w:t>3</w:t>
      </w:r>
      <w:r w:rsidR="008F2A75" w:rsidRPr="008F2A75">
        <w:rPr>
          <w:rFonts w:ascii="Times New Roman" w:hAnsi="Times New Roman" w:cs="Times New Roman"/>
        </w:rPr>
        <w:t>1</w:t>
      </w:r>
      <w:r w:rsidR="008F2A75">
        <w:rPr>
          <w:rFonts w:ascii="Times New Roman" w:hAnsi="Times New Roman" w:cs="Times New Roman"/>
        </w:rPr>
        <w:t>.</w:t>
      </w:r>
      <w:r w:rsidR="008F2A75" w:rsidRPr="008F2A75">
        <w:rPr>
          <w:rFonts w:ascii="Times New Roman" w:hAnsi="Times New Roman" w:cs="Times New Roman"/>
        </w:rPr>
        <w:t>08</w:t>
      </w:r>
      <w:r w:rsidR="008F2A75">
        <w:rPr>
          <w:rFonts w:ascii="Times New Roman" w:hAnsi="Times New Roman" w:cs="Times New Roman"/>
        </w:rPr>
        <w:t>.2023</w:t>
      </w:r>
      <w:r w:rsidR="001C3740" w:rsidRPr="005F3319">
        <w:rPr>
          <w:rFonts w:ascii="Times New Roman" w:hAnsi="Times New Roman" w:cs="Times New Roman"/>
        </w:rPr>
        <w:t xml:space="preserve"> </w:t>
      </w:r>
      <w:r w:rsidR="00595AA7" w:rsidRPr="005F3319">
        <w:rPr>
          <w:rFonts w:ascii="Times New Roman" w:hAnsi="Times New Roman" w:cs="Times New Roman"/>
        </w:rPr>
        <w:t>г.</w:t>
      </w:r>
    </w:p>
    <w:p w:rsidR="00A73D2C" w:rsidRPr="005F3319" w:rsidRDefault="00A73D2C" w:rsidP="003C4AE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F3319">
        <w:rPr>
          <w:rFonts w:ascii="Times New Roman" w:hAnsi="Times New Roman" w:cs="Times New Roman"/>
          <w:b/>
        </w:rPr>
        <w:t>Требования к месту выполнения работ.</w:t>
      </w:r>
    </w:p>
    <w:p w:rsidR="00EF3CB3" w:rsidRPr="005F3319" w:rsidRDefault="003C4AEF" w:rsidP="003C4AEF">
      <w:pPr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F3319">
        <w:rPr>
          <w:rFonts w:ascii="Times New Roman" w:hAnsi="Times New Roman" w:cs="Times New Roman"/>
          <w:color w:val="000000"/>
        </w:rPr>
        <w:t>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по месту нахождения Исполнителя.</w:t>
      </w:r>
    </w:p>
    <w:p w:rsidR="00A73D2C" w:rsidRPr="005F3319" w:rsidRDefault="00A73D2C" w:rsidP="003C4AEF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5F3319">
        <w:rPr>
          <w:rFonts w:ascii="Times New Roman" w:hAnsi="Times New Roman" w:cs="Times New Roman"/>
          <w:b/>
          <w:color w:val="000000"/>
        </w:rPr>
        <w:lastRenderedPageBreak/>
        <w:t>Требования к сроку и (или) объему предоставления гарантий выполнения работ</w:t>
      </w:r>
    </w:p>
    <w:p w:rsidR="005F3319" w:rsidRPr="005F3319" w:rsidRDefault="005F3319" w:rsidP="003C4A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319">
        <w:rPr>
          <w:rFonts w:ascii="Times New Roman" w:hAnsi="Times New Roman" w:cs="Times New Roman"/>
        </w:rPr>
        <w:t xml:space="preserve">Гарантийный срок устанавливается с момента подписания </w:t>
      </w:r>
      <w:r w:rsidR="0076241E" w:rsidRPr="0076241E">
        <w:rPr>
          <w:rFonts w:ascii="Times New Roman" w:hAnsi="Times New Roman" w:cs="Times New Roman"/>
        </w:rPr>
        <w:t xml:space="preserve">Акта приема-передачи изделия </w:t>
      </w:r>
      <w:r w:rsidRPr="005F3319">
        <w:rPr>
          <w:rFonts w:ascii="Times New Roman" w:hAnsi="Times New Roman" w:cs="Times New Roman"/>
        </w:rPr>
        <w:t xml:space="preserve">и составляет </w:t>
      </w:r>
      <w:r w:rsidR="00E47F4D">
        <w:rPr>
          <w:rFonts w:ascii="Times New Roman" w:hAnsi="Times New Roman" w:cs="Times New Roman"/>
        </w:rPr>
        <w:t>12 (двенадцать) месяцев.</w:t>
      </w:r>
      <w:bookmarkStart w:id="0" w:name="_GoBack"/>
      <w:bookmarkEnd w:id="0"/>
      <w:r w:rsidR="00187C6E" w:rsidRPr="005F3319">
        <w:rPr>
          <w:rFonts w:ascii="Times New Roman" w:hAnsi="Times New Roman" w:cs="Times New Roman"/>
        </w:rPr>
        <w:t xml:space="preserve"> </w:t>
      </w:r>
    </w:p>
    <w:p w:rsidR="00427A0E" w:rsidRPr="005F3319" w:rsidRDefault="00A73D2C" w:rsidP="003C4AE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319">
        <w:rPr>
          <w:rFonts w:ascii="Times New Roman" w:hAnsi="Times New Roman" w:cs="Times New Roman"/>
        </w:rPr>
        <w:t xml:space="preserve">В течение этого срока предприятие-изготовитель производит замену или ремонт </w:t>
      </w:r>
      <w:r w:rsidRPr="005F3319">
        <w:rPr>
          <w:rFonts w:ascii="Times New Roman" w:eastAsia="Arial" w:hAnsi="Times New Roman" w:cs="Times New Roman"/>
          <w:color w:val="000000"/>
        </w:rPr>
        <w:t>преждевременно вышедшего из строя не по вине инвалида</w:t>
      </w:r>
      <w:r w:rsidRPr="005F3319">
        <w:rPr>
          <w:rFonts w:ascii="Times New Roman" w:hAnsi="Times New Roman" w:cs="Times New Roman"/>
        </w:rPr>
        <w:t xml:space="preserve"> изделия бесплатно.</w:t>
      </w:r>
    </w:p>
    <w:sectPr w:rsidR="00427A0E" w:rsidRPr="005F3319" w:rsidSect="00AE7F5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05A80"/>
    <w:rsid w:val="00075A43"/>
    <w:rsid w:val="000E20D1"/>
    <w:rsid w:val="000E3D24"/>
    <w:rsid w:val="00170C7A"/>
    <w:rsid w:val="00187C6E"/>
    <w:rsid w:val="001C3740"/>
    <w:rsid w:val="002F0D14"/>
    <w:rsid w:val="00303CFE"/>
    <w:rsid w:val="003C2994"/>
    <w:rsid w:val="003C4AEF"/>
    <w:rsid w:val="003E3CF0"/>
    <w:rsid w:val="004267C8"/>
    <w:rsid w:val="00427A0E"/>
    <w:rsid w:val="0044571E"/>
    <w:rsid w:val="004C6FC3"/>
    <w:rsid w:val="00595AA7"/>
    <w:rsid w:val="005E267C"/>
    <w:rsid w:val="005F3319"/>
    <w:rsid w:val="0076241E"/>
    <w:rsid w:val="008016EA"/>
    <w:rsid w:val="008828C0"/>
    <w:rsid w:val="00891003"/>
    <w:rsid w:val="008A5C37"/>
    <w:rsid w:val="008F2A75"/>
    <w:rsid w:val="0091284D"/>
    <w:rsid w:val="00922967"/>
    <w:rsid w:val="009D6B00"/>
    <w:rsid w:val="00A3423E"/>
    <w:rsid w:val="00A428EB"/>
    <w:rsid w:val="00A47B35"/>
    <w:rsid w:val="00A73D2C"/>
    <w:rsid w:val="00A75B22"/>
    <w:rsid w:val="00AE7F55"/>
    <w:rsid w:val="00B67690"/>
    <w:rsid w:val="00B91950"/>
    <w:rsid w:val="00BE0918"/>
    <w:rsid w:val="00C22560"/>
    <w:rsid w:val="00D55517"/>
    <w:rsid w:val="00D5725C"/>
    <w:rsid w:val="00DB3361"/>
    <w:rsid w:val="00DD0EB8"/>
    <w:rsid w:val="00E47F4D"/>
    <w:rsid w:val="00EA6E93"/>
    <w:rsid w:val="00EF3CB3"/>
    <w:rsid w:val="00F46221"/>
    <w:rsid w:val="00F70255"/>
    <w:rsid w:val="00FB33BA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54ED-B274-4FB9-98EE-D97FA40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E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4159-ABA5-4D61-9DF5-5027EBC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Корабельникова Анастасия Николаевна</cp:lastModifiedBy>
  <cp:revision>3</cp:revision>
  <cp:lastPrinted>2023-02-03T13:35:00Z</cp:lastPrinted>
  <dcterms:created xsi:type="dcterms:W3CDTF">2023-02-06T06:21:00Z</dcterms:created>
  <dcterms:modified xsi:type="dcterms:W3CDTF">2023-02-06T09:27:00Z</dcterms:modified>
</cp:coreProperties>
</file>